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proofErr w:type="spellStart"/>
      <w:r w:rsidRPr="005A2501">
        <w:rPr>
          <w:spacing w:val="2"/>
        </w:rPr>
        <w:t>Тараз</w:t>
      </w:r>
      <w:proofErr w:type="spellEnd"/>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00B41976">
        <w:rPr>
          <w:spacing w:val="2"/>
        </w:rPr>
        <w:t>201</w:t>
      </w:r>
      <w:r w:rsidR="00B41976">
        <w:rPr>
          <w:spacing w:val="2"/>
          <w:lang w:val="kk-KZ"/>
        </w:rPr>
        <w:t xml:space="preserve">9 </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w:t>
      </w:r>
      <w:proofErr w:type="spellStart"/>
      <w:r w:rsidR="00DB5225" w:rsidRPr="007573FD">
        <w:rPr>
          <w:rFonts w:ascii="Times New Roman" w:hAnsi="Times New Roman"/>
          <w:sz w:val="24"/>
          <w:szCs w:val="24"/>
        </w:rPr>
        <w:t>Жамбылской</w:t>
      </w:r>
      <w:proofErr w:type="spellEnd"/>
      <w:r w:rsidR="00DB5225" w:rsidRPr="007573FD">
        <w:rPr>
          <w:rFonts w:ascii="Times New Roman" w:hAnsi="Times New Roman"/>
          <w:sz w:val="24"/>
          <w:szCs w:val="24"/>
        </w:rPr>
        <w:t xml:space="preserve">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w:t>
      </w:r>
      <w:r w:rsidRPr="00DB5225">
        <w:rPr>
          <w:spacing w:val="2"/>
        </w:rPr>
        <w:lastRenderedPageBreak/>
        <w:t>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B5225" w:rsidRP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 </w:t>
      </w:r>
      <w:bookmarkStart w:id="13" w:name="z494"/>
      <w:bookmarkEnd w:id="13"/>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w:t>
      </w:r>
      <w:r w:rsidRPr="00DB5225">
        <w:rPr>
          <w:spacing w:val="2"/>
        </w:rPr>
        <w:lastRenderedPageBreak/>
        <w:t>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w:t>
      </w:r>
      <w:r w:rsidRPr="00DB5225">
        <w:rPr>
          <w:spacing w:val="2"/>
        </w:rPr>
        <w:lastRenderedPageBreak/>
        <w:t>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786EE2"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786EE2" w:rsidRPr="00DB5225" w:rsidRDefault="00786EE2" w:rsidP="00786EE2">
      <w:pPr>
        <w:pStyle w:val="a5"/>
        <w:shd w:val="clear" w:color="auto" w:fill="FFFFFF"/>
        <w:tabs>
          <w:tab w:val="left" w:pos="426"/>
        </w:tabs>
        <w:spacing w:before="0" w:beforeAutospacing="0" w:after="0" w:afterAutospacing="0"/>
        <w:jc w:val="both"/>
        <w:textAlignment w:val="baseline"/>
        <w:rPr>
          <w:spacing w:val="2"/>
        </w:rPr>
      </w:pPr>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w:t>
            </w:r>
            <w:proofErr w:type="spellStart"/>
            <w:r w:rsidRPr="00FC1FF4">
              <w:rPr>
                <w:rFonts w:ascii="Times New Roman" w:hAnsi="Times New Roman"/>
                <w:sz w:val="20"/>
                <w:szCs w:val="20"/>
              </w:rPr>
              <w:t>Жамбылской</w:t>
            </w:r>
            <w:proofErr w:type="spellEnd"/>
            <w:r w:rsidRPr="00FC1FF4">
              <w:rPr>
                <w:rFonts w:ascii="Times New Roman" w:hAnsi="Times New Roman"/>
                <w:sz w:val="20"/>
                <w:szCs w:val="20"/>
              </w:rPr>
              <w:t xml:space="preserve">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852C42"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786EE2" w:rsidRDefault="00786EE2" w:rsidP="005A2501">
      <w:pPr>
        <w:pStyle w:val="a5"/>
        <w:shd w:val="clear" w:color="auto" w:fill="FFFFFF"/>
        <w:spacing w:before="0" w:beforeAutospacing="0" w:after="0" w:afterAutospacing="0"/>
        <w:ind w:firstLine="709"/>
        <w:jc w:val="right"/>
        <w:textAlignment w:val="baseline"/>
        <w:rPr>
          <w:b/>
          <w:i/>
          <w:sz w:val="22"/>
          <w:szCs w:val="22"/>
        </w:rPr>
        <w:sectPr w:rsidR="00786EE2" w:rsidSect="005A2501">
          <w:pgSz w:w="11906" w:h="16838"/>
          <w:pgMar w:top="1134" w:right="850" w:bottom="1134" w:left="1701" w:header="708" w:footer="708" w:gutter="0"/>
          <w:cols w:space="708"/>
          <w:docGrid w:linePitch="360"/>
        </w:sectPr>
      </w:pPr>
    </w:p>
    <w:p w:rsidR="00CA6FE4" w:rsidRPr="00786EE2" w:rsidRDefault="00CA6FE4" w:rsidP="005A250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rsidR="00CA6FE4" w:rsidRPr="00786EE2" w:rsidRDefault="00CA6FE4" w:rsidP="00CA6FE4">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w:t>
      </w:r>
      <w:r w:rsidR="00786EE2" w:rsidRPr="00786EE2">
        <w:rPr>
          <w:b/>
          <w:i/>
          <w:sz w:val="22"/>
          <w:szCs w:val="22"/>
        </w:rPr>
        <w:t>у № _____ от «___» _________201</w:t>
      </w:r>
      <w:r w:rsidR="00786EE2" w:rsidRPr="00786EE2">
        <w:rPr>
          <w:b/>
          <w:i/>
          <w:sz w:val="22"/>
          <w:szCs w:val="22"/>
          <w:lang w:val="kk-KZ"/>
        </w:rPr>
        <w:t xml:space="preserve">9 </w:t>
      </w:r>
      <w:r w:rsidRPr="00786EE2">
        <w:rPr>
          <w:b/>
          <w:i/>
          <w:sz w:val="22"/>
          <w:szCs w:val="22"/>
        </w:rPr>
        <w:t xml:space="preserve">г. </w:t>
      </w:r>
    </w:p>
    <w:p w:rsidR="00CA6FE4" w:rsidRPr="00786EE2" w:rsidRDefault="00CA6FE4" w:rsidP="00CA6FE4">
      <w:pPr>
        <w:pStyle w:val="j15"/>
        <w:shd w:val="clear" w:color="auto" w:fill="FFFFFF"/>
        <w:spacing w:before="0" w:beforeAutospacing="0" w:after="0" w:afterAutospacing="0"/>
        <w:textAlignment w:val="baseline"/>
        <w:rPr>
          <w:b/>
          <w:i/>
          <w:sz w:val="22"/>
          <w:szCs w:val="22"/>
        </w:rPr>
      </w:pPr>
    </w:p>
    <w:p w:rsidR="00CA6FE4" w:rsidRPr="00786EE2" w:rsidRDefault="00CA6FE4" w:rsidP="00CA6FE4">
      <w:pPr>
        <w:pStyle w:val="a5"/>
        <w:spacing w:before="0" w:beforeAutospacing="0" w:after="0" w:afterAutospacing="0"/>
        <w:jc w:val="right"/>
        <w:rPr>
          <w:b/>
          <w:i/>
          <w:sz w:val="22"/>
          <w:szCs w:val="22"/>
        </w:rPr>
      </w:pPr>
    </w:p>
    <w:tbl>
      <w:tblPr>
        <w:tblW w:w="105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43"/>
        <w:gridCol w:w="1984"/>
        <w:gridCol w:w="709"/>
        <w:gridCol w:w="567"/>
        <w:gridCol w:w="851"/>
        <w:gridCol w:w="1134"/>
        <w:gridCol w:w="992"/>
        <w:gridCol w:w="1701"/>
      </w:tblGrid>
      <w:tr w:rsidR="00786EE2" w:rsidRPr="00786EE2" w:rsidTr="00BC1DCF">
        <w:trPr>
          <w:trHeight w:val="986"/>
        </w:trPr>
        <w:tc>
          <w:tcPr>
            <w:tcW w:w="817" w:type="dxa"/>
            <w:hideMark/>
          </w:tcPr>
          <w:p w:rsidR="00786EE2" w:rsidRPr="00786EE2" w:rsidRDefault="00786EE2" w:rsidP="00786EE2">
            <w:pPr>
              <w:spacing w:after="0"/>
              <w:ind w:left="-142" w:firstLine="142"/>
              <w:jc w:val="center"/>
              <w:rPr>
                <w:rFonts w:ascii="Times New Roman" w:hAnsi="Times New Roman" w:cs="Times New Roman"/>
                <w:b/>
                <w:bCs/>
              </w:rPr>
            </w:pPr>
            <w:r w:rsidRPr="00786EE2">
              <w:rPr>
                <w:rFonts w:ascii="Times New Roman" w:hAnsi="Times New Roman" w:cs="Times New Roman"/>
                <w:b/>
                <w:bCs/>
              </w:rPr>
              <w:t xml:space="preserve">№ лота </w:t>
            </w:r>
          </w:p>
          <w:p w:rsidR="00786EE2" w:rsidRPr="00786EE2" w:rsidRDefault="00786EE2" w:rsidP="008C61D5">
            <w:pPr>
              <w:spacing w:after="0"/>
              <w:rPr>
                <w:rFonts w:ascii="Times New Roman" w:hAnsi="Times New Roman" w:cs="Times New Roman"/>
                <w:b/>
                <w:bCs/>
              </w:rPr>
            </w:pPr>
          </w:p>
        </w:tc>
        <w:tc>
          <w:tcPr>
            <w:tcW w:w="1843" w:type="dxa"/>
            <w:hideMark/>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Наименование </w:t>
            </w:r>
          </w:p>
        </w:tc>
        <w:tc>
          <w:tcPr>
            <w:tcW w:w="1984" w:type="dxa"/>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Техническая спецификация </w:t>
            </w:r>
          </w:p>
        </w:tc>
        <w:tc>
          <w:tcPr>
            <w:tcW w:w="709" w:type="dxa"/>
            <w:hideMark/>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Ед. изм.</w:t>
            </w:r>
          </w:p>
        </w:tc>
        <w:tc>
          <w:tcPr>
            <w:tcW w:w="567" w:type="dxa"/>
            <w:hideMark/>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Кол-во </w:t>
            </w:r>
          </w:p>
        </w:tc>
        <w:tc>
          <w:tcPr>
            <w:tcW w:w="851" w:type="dxa"/>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Цена </w:t>
            </w:r>
            <w:proofErr w:type="gramStart"/>
            <w:r w:rsidRPr="00786EE2">
              <w:rPr>
                <w:rFonts w:ascii="Times New Roman" w:hAnsi="Times New Roman" w:cs="Times New Roman"/>
                <w:b/>
                <w:bCs/>
              </w:rPr>
              <w:t>за</w:t>
            </w:r>
            <w:proofErr w:type="gramEnd"/>
            <w:r w:rsidRPr="00786EE2">
              <w:rPr>
                <w:rFonts w:ascii="Times New Roman" w:hAnsi="Times New Roman" w:cs="Times New Roman"/>
                <w:b/>
                <w:bCs/>
              </w:rPr>
              <w:t xml:space="preserve"> </w:t>
            </w:r>
            <w:proofErr w:type="gramStart"/>
            <w:r w:rsidRPr="00786EE2">
              <w:rPr>
                <w:rFonts w:ascii="Times New Roman" w:hAnsi="Times New Roman" w:cs="Times New Roman"/>
                <w:b/>
                <w:bCs/>
              </w:rPr>
              <w:t>единиц</w:t>
            </w:r>
            <w:proofErr w:type="gramEnd"/>
            <w:r w:rsidRPr="00786EE2">
              <w:rPr>
                <w:rFonts w:ascii="Times New Roman" w:hAnsi="Times New Roman" w:cs="Times New Roman"/>
                <w:b/>
                <w:bCs/>
              </w:rPr>
              <w:t>, тенге</w:t>
            </w:r>
          </w:p>
        </w:tc>
        <w:tc>
          <w:tcPr>
            <w:tcW w:w="1134" w:type="dxa"/>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Сумма </w:t>
            </w:r>
          </w:p>
        </w:tc>
        <w:tc>
          <w:tcPr>
            <w:tcW w:w="992" w:type="dxa"/>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Место поставки </w:t>
            </w:r>
          </w:p>
        </w:tc>
        <w:tc>
          <w:tcPr>
            <w:tcW w:w="1701" w:type="dxa"/>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Срок поставки </w:t>
            </w:r>
          </w:p>
        </w:tc>
      </w:tr>
      <w:tr w:rsidR="00786EE2" w:rsidRPr="00786EE2" w:rsidTr="00BC1DCF">
        <w:trPr>
          <w:trHeight w:val="974"/>
        </w:trPr>
        <w:tc>
          <w:tcPr>
            <w:tcW w:w="817" w:type="dxa"/>
            <w:noWrap/>
          </w:tcPr>
          <w:p w:rsidR="00786EE2" w:rsidRPr="00786EE2" w:rsidRDefault="00786EE2" w:rsidP="008C61D5">
            <w:pPr>
              <w:spacing w:after="0"/>
              <w:jc w:val="center"/>
              <w:rPr>
                <w:rFonts w:ascii="Times New Roman" w:hAnsi="Times New Roman" w:cs="Times New Roman"/>
              </w:rPr>
            </w:pPr>
            <w:r w:rsidRPr="00786EE2">
              <w:rPr>
                <w:rFonts w:ascii="Times New Roman" w:hAnsi="Times New Roman" w:cs="Times New Roman"/>
              </w:rPr>
              <w:t>1.</w:t>
            </w:r>
          </w:p>
        </w:tc>
        <w:tc>
          <w:tcPr>
            <w:tcW w:w="1843" w:type="dxa"/>
            <w:noWrap/>
          </w:tcPr>
          <w:p w:rsidR="00786EE2" w:rsidRPr="00786EE2" w:rsidRDefault="00786EE2" w:rsidP="008C61D5">
            <w:pPr>
              <w:tabs>
                <w:tab w:val="left" w:pos="3070"/>
                <w:tab w:val="left" w:pos="6400"/>
              </w:tabs>
              <w:spacing w:after="0" w:line="240" w:lineRule="auto"/>
              <w:rPr>
                <w:rFonts w:ascii="Times New Roman" w:hAnsi="Times New Roman" w:cs="Times New Roman"/>
              </w:rPr>
            </w:pPr>
            <w:r w:rsidRPr="00786EE2">
              <w:rPr>
                <w:rFonts w:ascii="Times New Roman" w:hAnsi="Times New Roman" w:cs="Times New Roman"/>
              </w:rPr>
              <w:t xml:space="preserve">Изотонический раствор </w:t>
            </w:r>
            <w:r w:rsidRPr="00786EE2">
              <w:rPr>
                <w:rFonts w:ascii="Times New Roman" w:hAnsi="Times New Roman" w:cs="Times New Roman"/>
                <w:lang w:val="en-US"/>
              </w:rPr>
              <w:t>ISOTONAC 4</w:t>
            </w:r>
          </w:p>
        </w:tc>
        <w:tc>
          <w:tcPr>
            <w:tcW w:w="1984" w:type="dxa"/>
          </w:tcPr>
          <w:p w:rsidR="00786EE2" w:rsidRPr="00786EE2" w:rsidRDefault="00786EE2" w:rsidP="008C61D5">
            <w:pPr>
              <w:tabs>
                <w:tab w:val="left" w:pos="3070"/>
                <w:tab w:val="left" w:pos="6400"/>
              </w:tabs>
              <w:rPr>
                <w:rFonts w:ascii="Times New Roman" w:hAnsi="Times New Roman" w:cs="Times New Roman"/>
              </w:rPr>
            </w:pPr>
            <w:r w:rsidRPr="00786EE2">
              <w:rPr>
                <w:rFonts w:ascii="Times New Roman" w:hAnsi="Times New Roman" w:cs="Times New Roman"/>
              </w:rPr>
              <w:t xml:space="preserve">Раствор для разведения клеток </w:t>
            </w:r>
            <w:proofErr w:type="spellStart"/>
            <w:r w:rsidRPr="00786EE2">
              <w:rPr>
                <w:rFonts w:ascii="Times New Roman" w:hAnsi="Times New Roman" w:cs="Times New Roman"/>
              </w:rPr>
              <w:t>крови</w:t>
            </w:r>
            <w:proofErr w:type="gramStart"/>
            <w:r w:rsidRPr="00786EE2">
              <w:rPr>
                <w:rFonts w:ascii="Times New Roman" w:hAnsi="Times New Roman" w:cs="Times New Roman"/>
              </w:rPr>
              <w:t>.А</w:t>
            </w:r>
            <w:proofErr w:type="gramEnd"/>
            <w:r w:rsidRPr="00786EE2">
              <w:rPr>
                <w:rFonts w:ascii="Times New Roman" w:hAnsi="Times New Roman" w:cs="Times New Roman"/>
              </w:rPr>
              <w:t>ктивный</w:t>
            </w:r>
            <w:proofErr w:type="spellEnd"/>
            <w:r w:rsidRPr="00786EE2">
              <w:rPr>
                <w:rFonts w:ascii="Times New Roman" w:hAnsi="Times New Roman" w:cs="Times New Roman"/>
              </w:rPr>
              <w:t xml:space="preserve"> компонент : хлорид натрия и сульфат натрия </w:t>
            </w:r>
            <w:proofErr w:type="spellStart"/>
            <w:r w:rsidRPr="00786EE2">
              <w:rPr>
                <w:rFonts w:ascii="Times New Roman" w:hAnsi="Times New Roman" w:cs="Times New Roman"/>
              </w:rPr>
              <w:t>безводный.Фасовка</w:t>
            </w:r>
            <w:proofErr w:type="spellEnd"/>
            <w:r w:rsidRPr="00786EE2">
              <w:rPr>
                <w:rFonts w:ascii="Times New Roman" w:hAnsi="Times New Roman" w:cs="Times New Roman"/>
              </w:rPr>
              <w:t xml:space="preserve"> :канистра 20 л.</w:t>
            </w:r>
          </w:p>
        </w:tc>
        <w:tc>
          <w:tcPr>
            <w:tcW w:w="709" w:type="dxa"/>
            <w:noWrap/>
          </w:tcPr>
          <w:p w:rsidR="00786EE2" w:rsidRPr="00786EE2" w:rsidRDefault="00786EE2" w:rsidP="008C61D5">
            <w:pPr>
              <w:tabs>
                <w:tab w:val="left" w:pos="3070"/>
                <w:tab w:val="left" w:pos="6400"/>
              </w:tabs>
              <w:jc w:val="center"/>
              <w:rPr>
                <w:rFonts w:ascii="Times New Roman" w:hAnsi="Times New Roman" w:cs="Times New Roman"/>
              </w:rPr>
            </w:pPr>
            <w:proofErr w:type="spellStart"/>
            <w:r w:rsidRPr="00786EE2">
              <w:rPr>
                <w:rFonts w:ascii="Times New Roman" w:hAnsi="Times New Roman" w:cs="Times New Roman"/>
              </w:rPr>
              <w:t>кан</w:t>
            </w:r>
            <w:proofErr w:type="spellEnd"/>
          </w:p>
        </w:tc>
        <w:tc>
          <w:tcPr>
            <w:tcW w:w="567" w:type="dxa"/>
            <w:noWrap/>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72</w:t>
            </w:r>
          </w:p>
        </w:tc>
        <w:tc>
          <w:tcPr>
            <w:tcW w:w="851" w:type="dxa"/>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33800</w:t>
            </w:r>
          </w:p>
        </w:tc>
        <w:tc>
          <w:tcPr>
            <w:tcW w:w="1134" w:type="dxa"/>
          </w:tcPr>
          <w:p w:rsidR="00786EE2" w:rsidRPr="00786EE2" w:rsidRDefault="00786EE2" w:rsidP="008C61D5">
            <w:pPr>
              <w:spacing w:after="0"/>
              <w:jc w:val="center"/>
              <w:rPr>
                <w:rFonts w:ascii="Times New Roman" w:hAnsi="Times New Roman" w:cs="Times New Roman"/>
                <w:color w:val="000000"/>
                <w:lang w:val="kk-KZ"/>
              </w:rPr>
            </w:pPr>
            <w:r w:rsidRPr="00786EE2">
              <w:rPr>
                <w:rFonts w:ascii="Times New Roman" w:hAnsi="Times New Roman" w:cs="Times New Roman"/>
                <w:color w:val="000000"/>
                <w:lang w:val="kk-KZ"/>
              </w:rPr>
              <w:t>2 433 600</w:t>
            </w:r>
          </w:p>
        </w:tc>
        <w:tc>
          <w:tcPr>
            <w:tcW w:w="992" w:type="dxa"/>
            <w:vMerge w:val="restart"/>
          </w:tcPr>
          <w:p w:rsidR="00786EE2" w:rsidRPr="00786EE2" w:rsidRDefault="00786EE2" w:rsidP="008C61D5">
            <w:pPr>
              <w:spacing w:after="0"/>
              <w:jc w:val="center"/>
              <w:rPr>
                <w:rFonts w:ascii="Times New Roman" w:hAnsi="Times New Roman" w:cs="Times New Roman"/>
                <w:color w:val="000000"/>
                <w:lang w:val="kk-KZ"/>
              </w:rPr>
            </w:pPr>
            <w:r w:rsidRPr="00786EE2">
              <w:rPr>
                <w:rFonts w:ascii="Times New Roman" w:hAnsi="Times New Roman" w:cs="Times New Roman"/>
                <w:color w:val="000000"/>
                <w:lang w:val="kk-KZ"/>
              </w:rPr>
              <w:t>Жамбылская область , г. Тараз, ул. Рысбек батыра, 13 «А».</w:t>
            </w:r>
          </w:p>
        </w:tc>
        <w:tc>
          <w:tcPr>
            <w:tcW w:w="1701" w:type="dxa"/>
            <w:vMerge w:val="restart"/>
          </w:tcPr>
          <w:p w:rsidR="00786EE2" w:rsidRPr="00786EE2" w:rsidRDefault="00786EE2" w:rsidP="008C61D5">
            <w:pPr>
              <w:spacing w:after="0"/>
              <w:jc w:val="center"/>
              <w:rPr>
                <w:rFonts w:ascii="Times New Roman" w:hAnsi="Times New Roman" w:cs="Times New Roman"/>
                <w:color w:val="000000"/>
                <w:lang w:val="kk-KZ"/>
              </w:rPr>
            </w:pPr>
            <w:r w:rsidRPr="00786EE2">
              <w:rPr>
                <w:rFonts w:ascii="Times New Roman" w:hAnsi="Times New Roman" w:cs="Times New Roman"/>
                <w:color w:val="000000"/>
                <w:lang w:val="kk-KZ"/>
              </w:rPr>
              <w:t xml:space="preserve">В течение 15 рабочих  дней с момента  получения заявки от Заказчика. </w:t>
            </w:r>
          </w:p>
        </w:tc>
      </w:tr>
      <w:tr w:rsidR="00786EE2" w:rsidRPr="00786EE2" w:rsidTr="00BC1DCF">
        <w:trPr>
          <w:trHeight w:val="317"/>
        </w:trPr>
        <w:tc>
          <w:tcPr>
            <w:tcW w:w="817" w:type="dxa"/>
            <w:noWrap/>
          </w:tcPr>
          <w:p w:rsidR="00786EE2" w:rsidRPr="00786EE2" w:rsidRDefault="00786EE2" w:rsidP="008C61D5">
            <w:pPr>
              <w:spacing w:after="0"/>
              <w:jc w:val="center"/>
              <w:rPr>
                <w:rFonts w:ascii="Times New Roman" w:hAnsi="Times New Roman" w:cs="Times New Roman"/>
              </w:rPr>
            </w:pPr>
            <w:r w:rsidRPr="00786EE2">
              <w:rPr>
                <w:rFonts w:ascii="Times New Roman" w:hAnsi="Times New Roman" w:cs="Times New Roman"/>
              </w:rPr>
              <w:t>2.</w:t>
            </w:r>
          </w:p>
        </w:tc>
        <w:tc>
          <w:tcPr>
            <w:tcW w:w="1843" w:type="dxa"/>
            <w:noWrap/>
          </w:tcPr>
          <w:p w:rsidR="00786EE2" w:rsidRPr="00786EE2" w:rsidRDefault="00786EE2" w:rsidP="008C61D5">
            <w:pPr>
              <w:tabs>
                <w:tab w:val="left" w:pos="3070"/>
                <w:tab w:val="left" w:pos="6400"/>
              </w:tabs>
              <w:spacing w:after="0" w:line="240" w:lineRule="auto"/>
              <w:rPr>
                <w:rFonts w:ascii="Times New Roman" w:hAnsi="Times New Roman" w:cs="Times New Roman"/>
                <w:lang w:val="en-US"/>
              </w:rPr>
            </w:pPr>
            <w:r w:rsidRPr="00786EE2">
              <w:rPr>
                <w:rFonts w:ascii="Times New Roman" w:hAnsi="Times New Roman" w:cs="Times New Roman"/>
              </w:rPr>
              <w:t xml:space="preserve">Промывающий реагент </w:t>
            </w:r>
            <w:r w:rsidRPr="00786EE2">
              <w:rPr>
                <w:rFonts w:ascii="Times New Roman" w:hAnsi="Times New Roman" w:cs="Times New Roman"/>
                <w:lang w:val="en-US"/>
              </w:rPr>
              <w:t xml:space="preserve"> </w:t>
            </w:r>
            <w:proofErr w:type="spellStart"/>
            <w:r w:rsidRPr="00786EE2">
              <w:rPr>
                <w:rFonts w:ascii="Times New Roman" w:hAnsi="Times New Roman" w:cs="Times New Roman"/>
                <w:lang w:val="en-US"/>
              </w:rPr>
              <w:t>Cleanac</w:t>
            </w:r>
            <w:proofErr w:type="spellEnd"/>
          </w:p>
        </w:tc>
        <w:tc>
          <w:tcPr>
            <w:tcW w:w="1984" w:type="dxa"/>
          </w:tcPr>
          <w:p w:rsidR="00786EE2" w:rsidRPr="00786EE2" w:rsidRDefault="00786EE2" w:rsidP="008C61D5">
            <w:pPr>
              <w:tabs>
                <w:tab w:val="left" w:pos="3070"/>
                <w:tab w:val="left" w:pos="6400"/>
              </w:tabs>
              <w:rPr>
                <w:rFonts w:ascii="Times New Roman" w:hAnsi="Times New Roman" w:cs="Times New Roman"/>
                <w:lang w:val="kk-KZ"/>
              </w:rPr>
            </w:pPr>
            <w:r w:rsidRPr="00786EE2">
              <w:rPr>
                <w:rFonts w:ascii="Times New Roman" w:hAnsi="Times New Roman" w:cs="Times New Roman"/>
                <w:lang w:val="kk-KZ"/>
              </w:rPr>
              <w:t>Раствор предназначен для промывки жидкостных магистралей</w:t>
            </w:r>
            <w:r w:rsidRPr="00786EE2">
              <w:rPr>
                <w:rFonts w:ascii="Times New Roman" w:hAnsi="Times New Roman" w:cs="Times New Roman"/>
              </w:rPr>
              <w:t>,</w:t>
            </w:r>
            <w:r w:rsidRPr="00786EE2">
              <w:rPr>
                <w:rFonts w:ascii="Times New Roman" w:hAnsi="Times New Roman" w:cs="Times New Roman"/>
                <w:lang w:val="kk-KZ"/>
              </w:rPr>
              <w:t>клапанов,шприцов,датчиков,насосов и трубочек прибора.Активный компонент полиоксиэтилентридециловый эфир.Фасовка: бтыль 5л.</w:t>
            </w:r>
          </w:p>
        </w:tc>
        <w:tc>
          <w:tcPr>
            <w:tcW w:w="709" w:type="dxa"/>
            <w:noWrap/>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бут</w:t>
            </w:r>
          </w:p>
        </w:tc>
        <w:tc>
          <w:tcPr>
            <w:tcW w:w="567" w:type="dxa"/>
            <w:noWrap/>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12</w:t>
            </w:r>
          </w:p>
        </w:tc>
        <w:tc>
          <w:tcPr>
            <w:tcW w:w="851" w:type="dxa"/>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26500</w:t>
            </w:r>
          </w:p>
        </w:tc>
        <w:tc>
          <w:tcPr>
            <w:tcW w:w="1134" w:type="dxa"/>
          </w:tcPr>
          <w:p w:rsidR="00786EE2" w:rsidRPr="00786EE2" w:rsidRDefault="00786EE2" w:rsidP="008C61D5">
            <w:pPr>
              <w:tabs>
                <w:tab w:val="left" w:pos="180"/>
              </w:tabs>
              <w:spacing w:after="0"/>
              <w:jc w:val="center"/>
              <w:rPr>
                <w:rFonts w:ascii="Times New Roman" w:hAnsi="Times New Roman" w:cs="Times New Roman"/>
                <w:color w:val="000000"/>
                <w:lang w:val="kk-KZ"/>
              </w:rPr>
            </w:pPr>
            <w:r w:rsidRPr="00786EE2">
              <w:rPr>
                <w:rFonts w:ascii="Times New Roman" w:hAnsi="Times New Roman" w:cs="Times New Roman"/>
                <w:color w:val="000000"/>
                <w:lang w:val="kk-KZ"/>
              </w:rPr>
              <w:t>318 000</w:t>
            </w:r>
          </w:p>
        </w:tc>
        <w:tc>
          <w:tcPr>
            <w:tcW w:w="992" w:type="dxa"/>
            <w:vMerge/>
          </w:tcPr>
          <w:p w:rsidR="00786EE2" w:rsidRPr="00786EE2" w:rsidRDefault="00786EE2" w:rsidP="008C61D5">
            <w:pPr>
              <w:spacing w:after="0"/>
              <w:jc w:val="center"/>
              <w:rPr>
                <w:rFonts w:ascii="Times New Roman" w:hAnsi="Times New Roman" w:cs="Times New Roman"/>
                <w:color w:val="000000"/>
                <w:lang w:val="kk-KZ"/>
              </w:rPr>
            </w:pPr>
          </w:p>
        </w:tc>
        <w:tc>
          <w:tcPr>
            <w:tcW w:w="1701" w:type="dxa"/>
            <w:vMerge/>
          </w:tcPr>
          <w:p w:rsidR="00786EE2" w:rsidRPr="00786EE2" w:rsidRDefault="00786EE2" w:rsidP="008C61D5">
            <w:pPr>
              <w:spacing w:after="0"/>
              <w:jc w:val="center"/>
              <w:rPr>
                <w:rFonts w:ascii="Times New Roman" w:hAnsi="Times New Roman" w:cs="Times New Roman"/>
                <w:color w:val="000000"/>
                <w:lang w:val="kk-KZ"/>
              </w:rPr>
            </w:pPr>
          </w:p>
        </w:tc>
      </w:tr>
      <w:tr w:rsidR="00786EE2" w:rsidRPr="00786EE2" w:rsidTr="00BC1DCF">
        <w:trPr>
          <w:trHeight w:val="317"/>
        </w:trPr>
        <w:tc>
          <w:tcPr>
            <w:tcW w:w="817" w:type="dxa"/>
            <w:noWrap/>
          </w:tcPr>
          <w:p w:rsidR="00786EE2" w:rsidRPr="00786EE2" w:rsidRDefault="00786EE2" w:rsidP="008C61D5">
            <w:pPr>
              <w:spacing w:after="0"/>
              <w:jc w:val="center"/>
              <w:rPr>
                <w:rFonts w:ascii="Times New Roman" w:hAnsi="Times New Roman" w:cs="Times New Roman"/>
              </w:rPr>
            </w:pPr>
            <w:r w:rsidRPr="00786EE2">
              <w:rPr>
                <w:rFonts w:ascii="Times New Roman" w:hAnsi="Times New Roman" w:cs="Times New Roman"/>
              </w:rPr>
              <w:t>3</w:t>
            </w:r>
          </w:p>
        </w:tc>
        <w:tc>
          <w:tcPr>
            <w:tcW w:w="1843" w:type="dxa"/>
            <w:noWrap/>
          </w:tcPr>
          <w:p w:rsidR="00786EE2" w:rsidRPr="00786EE2" w:rsidRDefault="00786EE2" w:rsidP="008C61D5">
            <w:pPr>
              <w:tabs>
                <w:tab w:val="left" w:pos="3070"/>
                <w:tab w:val="left" w:pos="6400"/>
              </w:tabs>
              <w:rPr>
                <w:rFonts w:ascii="Times New Roman" w:hAnsi="Times New Roman" w:cs="Times New Roman"/>
              </w:rPr>
            </w:pPr>
            <w:proofErr w:type="spellStart"/>
            <w:r w:rsidRPr="00786EE2">
              <w:rPr>
                <w:rFonts w:ascii="Times New Roman" w:hAnsi="Times New Roman" w:cs="Times New Roman"/>
              </w:rPr>
              <w:t>Лизирующий</w:t>
            </w:r>
            <w:proofErr w:type="spellEnd"/>
            <w:r w:rsidRPr="00786EE2">
              <w:rPr>
                <w:rFonts w:ascii="Times New Roman" w:hAnsi="Times New Roman" w:cs="Times New Roman"/>
              </w:rPr>
              <w:t xml:space="preserve"> реагент </w:t>
            </w:r>
            <w:proofErr w:type="spellStart"/>
            <w:r w:rsidRPr="00786EE2">
              <w:rPr>
                <w:rFonts w:ascii="Times New Roman" w:hAnsi="Times New Roman" w:cs="Times New Roman"/>
                <w:lang w:val="en-US"/>
              </w:rPr>
              <w:t>Hemolynac</w:t>
            </w:r>
            <w:proofErr w:type="spellEnd"/>
            <w:r w:rsidRPr="00786EE2">
              <w:rPr>
                <w:rFonts w:ascii="Times New Roman" w:hAnsi="Times New Roman" w:cs="Times New Roman"/>
                <w:lang w:val="en-US"/>
              </w:rPr>
              <w:t xml:space="preserve"> 3N</w:t>
            </w:r>
          </w:p>
        </w:tc>
        <w:tc>
          <w:tcPr>
            <w:tcW w:w="1984" w:type="dxa"/>
          </w:tcPr>
          <w:p w:rsidR="00786EE2" w:rsidRPr="00786EE2" w:rsidRDefault="00786EE2" w:rsidP="008C61D5">
            <w:pPr>
              <w:tabs>
                <w:tab w:val="left" w:pos="3070"/>
                <w:tab w:val="left" w:pos="6400"/>
              </w:tabs>
              <w:rPr>
                <w:rFonts w:ascii="Times New Roman" w:hAnsi="Times New Roman" w:cs="Times New Roman"/>
              </w:rPr>
            </w:pPr>
            <w:r w:rsidRPr="00786EE2">
              <w:rPr>
                <w:rFonts w:ascii="Times New Roman" w:hAnsi="Times New Roman" w:cs="Times New Roman"/>
              </w:rPr>
              <w:t xml:space="preserve">Раствор для дифференцировки </w:t>
            </w:r>
            <w:proofErr w:type="spellStart"/>
            <w:r w:rsidRPr="00786EE2">
              <w:rPr>
                <w:rFonts w:ascii="Times New Roman" w:hAnsi="Times New Roman" w:cs="Times New Roman"/>
              </w:rPr>
              <w:t>лейкоцитов,эритроцитов,гемоглобина</w:t>
            </w:r>
            <w:proofErr w:type="gramStart"/>
            <w:r w:rsidRPr="00786EE2">
              <w:rPr>
                <w:rFonts w:ascii="Times New Roman" w:hAnsi="Times New Roman" w:cs="Times New Roman"/>
              </w:rPr>
              <w:t>.А</w:t>
            </w:r>
            <w:proofErr w:type="gramEnd"/>
            <w:r w:rsidRPr="00786EE2">
              <w:rPr>
                <w:rFonts w:ascii="Times New Roman" w:hAnsi="Times New Roman" w:cs="Times New Roman"/>
              </w:rPr>
              <w:t>ктивный</w:t>
            </w:r>
            <w:proofErr w:type="spellEnd"/>
            <w:r w:rsidRPr="00786EE2">
              <w:rPr>
                <w:rFonts w:ascii="Times New Roman" w:hAnsi="Times New Roman" w:cs="Times New Roman"/>
              </w:rPr>
              <w:t xml:space="preserve"> компонент :четвертичные аммониевые </w:t>
            </w:r>
            <w:proofErr w:type="spellStart"/>
            <w:r w:rsidRPr="00786EE2">
              <w:rPr>
                <w:rFonts w:ascii="Times New Roman" w:hAnsi="Times New Roman" w:cs="Times New Roman"/>
              </w:rPr>
              <w:t>соли.Фасовка</w:t>
            </w:r>
            <w:proofErr w:type="spellEnd"/>
            <w:r w:rsidRPr="00786EE2">
              <w:rPr>
                <w:rFonts w:ascii="Times New Roman" w:hAnsi="Times New Roman" w:cs="Times New Roman"/>
              </w:rPr>
              <w:t xml:space="preserve"> :бутыль 1л.</w:t>
            </w:r>
          </w:p>
        </w:tc>
        <w:tc>
          <w:tcPr>
            <w:tcW w:w="709" w:type="dxa"/>
            <w:noWrap/>
          </w:tcPr>
          <w:p w:rsidR="00786EE2" w:rsidRPr="00786EE2" w:rsidRDefault="00786EE2" w:rsidP="008C61D5">
            <w:pPr>
              <w:tabs>
                <w:tab w:val="left" w:pos="3070"/>
                <w:tab w:val="left" w:pos="6400"/>
              </w:tabs>
              <w:jc w:val="center"/>
              <w:rPr>
                <w:rFonts w:ascii="Times New Roman" w:hAnsi="Times New Roman" w:cs="Times New Roman"/>
              </w:rPr>
            </w:pPr>
            <w:r w:rsidRPr="00786EE2">
              <w:rPr>
                <w:rFonts w:ascii="Times New Roman" w:hAnsi="Times New Roman" w:cs="Times New Roman"/>
              </w:rPr>
              <w:t>бут</w:t>
            </w:r>
          </w:p>
        </w:tc>
        <w:tc>
          <w:tcPr>
            <w:tcW w:w="567" w:type="dxa"/>
            <w:noWrap/>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25</w:t>
            </w:r>
          </w:p>
        </w:tc>
        <w:tc>
          <w:tcPr>
            <w:tcW w:w="851" w:type="dxa"/>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38300</w:t>
            </w:r>
          </w:p>
        </w:tc>
        <w:tc>
          <w:tcPr>
            <w:tcW w:w="1134" w:type="dxa"/>
          </w:tcPr>
          <w:p w:rsidR="00786EE2" w:rsidRPr="00786EE2" w:rsidRDefault="00786EE2" w:rsidP="008C61D5">
            <w:pPr>
              <w:spacing w:after="0"/>
              <w:jc w:val="center"/>
              <w:rPr>
                <w:rFonts w:ascii="Times New Roman" w:hAnsi="Times New Roman" w:cs="Times New Roman"/>
                <w:color w:val="000000"/>
                <w:lang w:val="kk-KZ"/>
              </w:rPr>
            </w:pPr>
            <w:r w:rsidRPr="00786EE2">
              <w:rPr>
                <w:rFonts w:ascii="Times New Roman" w:hAnsi="Times New Roman" w:cs="Times New Roman"/>
                <w:color w:val="000000"/>
                <w:lang w:val="kk-KZ"/>
              </w:rPr>
              <w:t>957 500</w:t>
            </w:r>
          </w:p>
        </w:tc>
        <w:tc>
          <w:tcPr>
            <w:tcW w:w="992" w:type="dxa"/>
            <w:vMerge/>
          </w:tcPr>
          <w:p w:rsidR="00786EE2" w:rsidRPr="00786EE2" w:rsidRDefault="00786EE2" w:rsidP="008C61D5">
            <w:pPr>
              <w:spacing w:after="0"/>
              <w:jc w:val="center"/>
              <w:rPr>
                <w:rFonts w:ascii="Times New Roman" w:hAnsi="Times New Roman" w:cs="Times New Roman"/>
                <w:color w:val="000000"/>
                <w:lang w:val="kk-KZ"/>
              </w:rPr>
            </w:pPr>
          </w:p>
        </w:tc>
        <w:tc>
          <w:tcPr>
            <w:tcW w:w="1701" w:type="dxa"/>
            <w:vMerge/>
          </w:tcPr>
          <w:p w:rsidR="00786EE2" w:rsidRPr="00786EE2" w:rsidRDefault="00786EE2" w:rsidP="008C61D5">
            <w:pPr>
              <w:spacing w:after="0"/>
              <w:jc w:val="center"/>
              <w:rPr>
                <w:rFonts w:ascii="Times New Roman" w:hAnsi="Times New Roman" w:cs="Times New Roman"/>
                <w:color w:val="000000"/>
                <w:lang w:val="kk-KZ"/>
              </w:rPr>
            </w:pPr>
          </w:p>
        </w:tc>
      </w:tr>
      <w:tr w:rsidR="00786EE2" w:rsidRPr="00786EE2" w:rsidTr="00BC1DCF">
        <w:trPr>
          <w:trHeight w:val="317"/>
        </w:trPr>
        <w:tc>
          <w:tcPr>
            <w:tcW w:w="817" w:type="dxa"/>
            <w:noWrap/>
          </w:tcPr>
          <w:p w:rsidR="00786EE2" w:rsidRPr="00786EE2" w:rsidRDefault="00786EE2" w:rsidP="008C61D5">
            <w:pPr>
              <w:spacing w:after="0"/>
              <w:jc w:val="center"/>
              <w:rPr>
                <w:rFonts w:ascii="Times New Roman" w:hAnsi="Times New Roman" w:cs="Times New Roman"/>
                <w:lang w:val="kk-KZ"/>
              </w:rPr>
            </w:pPr>
            <w:r w:rsidRPr="00786EE2">
              <w:rPr>
                <w:rFonts w:ascii="Times New Roman" w:hAnsi="Times New Roman" w:cs="Times New Roman"/>
                <w:lang w:val="kk-KZ"/>
              </w:rPr>
              <w:t>4</w:t>
            </w:r>
          </w:p>
        </w:tc>
        <w:tc>
          <w:tcPr>
            <w:tcW w:w="1843" w:type="dxa"/>
            <w:noWrap/>
          </w:tcPr>
          <w:p w:rsidR="00786EE2" w:rsidRPr="00786EE2" w:rsidRDefault="00786EE2" w:rsidP="008C61D5">
            <w:pPr>
              <w:tabs>
                <w:tab w:val="left" w:pos="3070"/>
                <w:tab w:val="left" w:pos="6400"/>
              </w:tabs>
              <w:rPr>
                <w:rFonts w:ascii="Times New Roman" w:hAnsi="Times New Roman" w:cs="Times New Roman"/>
                <w:lang w:val="en-US"/>
              </w:rPr>
            </w:pPr>
            <w:proofErr w:type="spellStart"/>
            <w:r w:rsidRPr="00786EE2">
              <w:rPr>
                <w:rFonts w:ascii="Times New Roman" w:hAnsi="Times New Roman" w:cs="Times New Roman"/>
              </w:rPr>
              <w:t>Очищающийй</w:t>
            </w:r>
            <w:proofErr w:type="spellEnd"/>
            <w:r w:rsidRPr="00786EE2">
              <w:rPr>
                <w:rFonts w:ascii="Times New Roman" w:hAnsi="Times New Roman" w:cs="Times New Roman"/>
              </w:rPr>
              <w:t xml:space="preserve"> реагент </w:t>
            </w:r>
            <w:proofErr w:type="spellStart"/>
            <w:r w:rsidRPr="00786EE2">
              <w:rPr>
                <w:rFonts w:ascii="Times New Roman" w:hAnsi="Times New Roman" w:cs="Times New Roman"/>
                <w:lang w:val="en-US"/>
              </w:rPr>
              <w:t>Cleanac</w:t>
            </w:r>
            <w:proofErr w:type="spellEnd"/>
            <w:r w:rsidRPr="00786EE2">
              <w:rPr>
                <w:rFonts w:ascii="Times New Roman" w:hAnsi="Times New Roman" w:cs="Times New Roman"/>
                <w:lang w:val="en-US"/>
              </w:rPr>
              <w:t xml:space="preserve"> 3</w:t>
            </w:r>
          </w:p>
        </w:tc>
        <w:tc>
          <w:tcPr>
            <w:tcW w:w="1984" w:type="dxa"/>
          </w:tcPr>
          <w:p w:rsidR="00786EE2" w:rsidRPr="00786EE2" w:rsidRDefault="00786EE2" w:rsidP="008C61D5">
            <w:pPr>
              <w:tabs>
                <w:tab w:val="left" w:pos="3070"/>
                <w:tab w:val="left" w:pos="6400"/>
              </w:tabs>
              <w:rPr>
                <w:rFonts w:ascii="Times New Roman" w:hAnsi="Times New Roman" w:cs="Times New Roman"/>
              </w:rPr>
            </w:pPr>
            <w:r w:rsidRPr="00786EE2">
              <w:rPr>
                <w:rFonts w:ascii="Times New Roman" w:hAnsi="Times New Roman" w:cs="Times New Roman"/>
              </w:rPr>
              <w:t xml:space="preserve">Раствор для жесткой очистки от белков и других </w:t>
            </w:r>
            <w:proofErr w:type="spellStart"/>
            <w:r w:rsidRPr="00786EE2">
              <w:rPr>
                <w:rFonts w:ascii="Times New Roman" w:hAnsi="Times New Roman" w:cs="Times New Roman"/>
              </w:rPr>
              <w:t>веществ</w:t>
            </w:r>
            <w:proofErr w:type="gramStart"/>
            <w:r w:rsidRPr="00786EE2">
              <w:rPr>
                <w:rFonts w:ascii="Times New Roman" w:hAnsi="Times New Roman" w:cs="Times New Roman"/>
              </w:rPr>
              <w:t>.П</w:t>
            </w:r>
            <w:proofErr w:type="gramEnd"/>
            <w:r w:rsidRPr="00786EE2">
              <w:rPr>
                <w:rFonts w:ascii="Times New Roman" w:hAnsi="Times New Roman" w:cs="Times New Roman"/>
              </w:rPr>
              <w:t>рименяется</w:t>
            </w:r>
            <w:proofErr w:type="spellEnd"/>
            <w:r w:rsidRPr="00786EE2">
              <w:rPr>
                <w:rFonts w:ascii="Times New Roman" w:hAnsi="Times New Roman" w:cs="Times New Roman"/>
              </w:rPr>
              <w:t xml:space="preserve"> для чистки </w:t>
            </w:r>
            <w:proofErr w:type="spellStart"/>
            <w:r w:rsidRPr="00786EE2">
              <w:rPr>
                <w:rFonts w:ascii="Times New Roman" w:hAnsi="Times New Roman" w:cs="Times New Roman"/>
              </w:rPr>
              <w:t>апертур.Активный</w:t>
            </w:r>
            <w:proofErr w:type="spellEnd"/>
            <w:r w:rsidRPr="00786EE2">
              <w:rPr>
                <w:rFonts w:ascii="Times New Roman" w:hAnsi="Times New Roman" w:cs="Times New Roman"/>
              </w:rPr>
              <w:t xml:space="preserve"> </w:t>
            </w:r>
            <w:proofErr w:type="spellStart"/>
            <w:r w:rsidRPr="00786EE2">
              <w:rPr>
                <w:rFonts w:ascii="Times New Roman" w:hAnsi="Times New Roman" w:cs="Times New Roman"/>
              </w:rPr>
              <w:lastRenderedPageBreak/>
              <w:t>компонент:гипохлорид</w:t>
            </w:r>
            <w:proofErr w:type="spellEnd"/>
            <w:r w:rsidRPr="00786EE2">
              <w:rPr>
                <w:rFonts w:ascii="Times New Roman" w:hAnsi="Times New Roman" w:cs="Times New Roman"/>
              </w:rPr>
              <w:t xml:space="preserve"> </w:t>
            </w:r>
            <w:proofErr w:type="spellStart"/>
            <w:r w:rsidRPr="00786EE2">
              <w:rPr>
                <w:rFonts w:ascii="Times New Roman" w:hAnsi="Times New Roman" w:cs="Times New Roman"/>
              </w:rPr>
              <w:t>натрия.Фасовка</w:t>
            </w:r>
            <w:proofErr w:type="spellEnd"/>
            <w:r w:rsidRPr="00786EE2">
              <w:rPr>
                <w:rFonts w:ascii="Times New Roman" w:hAnsi="Times New Roman" w:cs="Times New Roman"/>
              </w:rPr>
              <w:t xml:space="preserve"> :бутыль 1 л.</w:t>
            </w:r>
          </w:p>
        </w:tc>
        <w:tc>
          <w:tcPr>
            <w:tcW w:w="709" w:type="dxa"/>
            <w:noWrap/>
          </w:tcPr>
          <w:p w:rsidR="00786EE2" w:rsidRPr="00786EE2" w:rsidRDefault="00786EE2" w:rsidP="008C61D5">
            <w:pPr>
              <w:tabs>
                <w:tab w:val="left" w:pos="3070"/>
                <w:tab w:val="left" w:pos="6400"/>
              </w:tabs>
              <w:jc w:val="center"/>
              <w:rPr>
                <w:rFonts w:ascii="Times New Roman" w:hAnsi="Times New Roman" w:cs="Times New Roman"/>
              </w:rPr>
            </w:pPr>
            <w:r w:rsidRPr="00786EE2">
              <w:rPr>
                <w:rFonts w:ascii="Times New Roman" w:hAnsi="Times New Roman" w:cs="Times New Roman"/>
              </w:rPr>
              <w:lastRenderedPageBreak/>
              <w:t>бут</w:t>
            </w:r>
          </w:p>
        </w:tc>
        <w:tc>
          <w:tcPr>
            <w:tcW w:w="567" w:type="dxa"/>
            <w:noWrap/>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8</w:t>
            </w:r>
          </w:p>
        </w:tc>
        <w:tc>
          <w:tcPr>
            <w:tcW w:w="851" w:type="dxa"/>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16800</w:t>
            </w:r>
          </w:p>
        </w:tc>
        <w:tc>
          <w:tcPr>
            <w:tcW w:w="1134" w:type="dxa"/>
          </w:tcPr>
          <w:p w:rsidR="00786EE2" w:rsidRPr="00786EE2" w:rsidRDefault="00F6011A" w:rsidP="008C61D5">
            <w:pPr>
              <w:spacing w:after="0"/>
              <w:jc w:val="center"/>
              <w:rPr>
                <w:rFonts w:ascii="Times New Roman" w:hAnsi="Times New Roman" w:cs="Times New Roman"/>
                <w:color w:val="000000"/>
                <w:lang w:val="kk-KZ"/>
              </w:rPr>
            </w:pPr>
            <w:r>
              <w:rPr>
                <w:rFonts w:ascii="Times New Roman" w:hAnsi="Times New Roman" w:cs="Times New Roman"/>
                <w:color w:val="000000"/>
                <w:lang w:val="kk-KZ"/>
              </w:rPr>
              <w:t>134400</w:t>
            </w:r>
            <w:bookmarkStart w:id="50" w:name="_GoBack"/>
            <w:bookmarkEnd w:id="50"/>
          </w:p>
        </w:tc>
        <w:tc>
          <w:tcPr>
            <w:tcW w:w="992" w:type="dxa"/>
            <w:vMerge/>
          </w:tcPr>
          <w:p w:rsidR="00786EE2" w:rsidRPr="00786EE2" w:rsidRDefault="00786EE2" w:rsidP="008C61D5">
            <w:pPr>
              <w:spacing w:after="0"/>
              <w:jc w:val="center"/>
              <w:rPr>
                <w:rFonts w:ascii="Times New Roman" w:hAnsi="Times New Roman" w:cs="Times New Roman"/>
                <w:color w:val="000000"/>
                <w:lang w:val="kk-KZ"/>
              </w:rPr>
            </w:pPr>
          </w:p>
        </w:tc>
        <w:tc>
          <w:tcPr>
            <w:tcW w:w="1701" w:type="dxa"/>
            <w:vMerge/>
          </w:tcPr>
          <w:p w:rsidR="00786EE2" w:rsidRPr="00786EE2" w:rsidRDefault="00786EE2" w:rsidP="008C61D5">
            <w:pPr>
              <w:spacing w:after="0"/>
              <w:jc w:val="center"/>
              <w:rPr>
                <w:rFonts w:ascii="Times New Roman" w:hAnsi="Times New Roman" w:cs="Times New Roman"/>
                <w:color w:val="000000"/>
                <w:lang w:val="kk-KZ"/>
              </w:rPr>
            </w:pPr>
          </w:p>
        </w:tc>
      </w:tr>
      <w:tr w:rsidR="00786EE2" w:rsidRPr="00786EE2" w:rsidTr="00BC1DCF">
        <w:trPr>
          <w:trHeight w:val="317"/>
        </w:trPr>
        <w:tc>
          <w:tcPr>
            <w:tcW w:w="817" w:type="dxa"/>
            <w:noWrap/>
          </w:tcPr>
          <w:p w:rsidR="00786EE2" w:rsidRPr="00786EE2" w:rsidRDefault="00786EE2" w:rsidP="008C61D5">
            <w:pPr>
              <w:spacing w:after="0"/>
              <w:jc w:val="center"/>
              <w:rPr>
                <w:rFonts w:ascii="Times New Roman" w:hAnsi="Times New Roman" w:cs="Times New Roman"/>
                <w:lang w:val="kk-KZ"/>
              </w:rPr>
            </w:pPr>
            <w:r w:rsidRPr="00786EE2">
              <w:rPr>
                <w:rFonts w:ascii="Times New Roman" w:hAnsi="Times New Roman" w:cs="Times New Roman"/>
                <w:lang w:val="kk-KZ"/>
              </w:rPr>
              <w:lastRenderedPageBreak/>
              <w:t>5</w:t>
            </w:r>
          </w:p>
        </w:tc>
        <w:tc>
          <w:tcPr>
            <w:tcW w:w="1843" w:type="dxa"/>
            <w:noWrap/>
          </w:tcPr>
          <w:p w:rsidR="00786EE2" w:rsidRPr="00786EE2" w:rsidRDefault="00786EE2" w:rsidP="008C61D5">
            <w:pPr>
              <w:tabs>
                <w:tab w:val="left" w:pos="3070"/>
                <w:tab w:val="left" w:pos="6400"/>
              </w:tabs>
              <w:rPr>
                <w:rFonts w:ascii="Times New Roman" w:hAnsi="Times New Roman" w:cs="Times New Roman"/>
              </w:rPr>
            </w:pPr>
            <w:r w:rsidRPr="00786EE2">
              <w:rPr>
                <w:rFonts w:ascii="Times New Roman" w:hAnsi="Times New Roman" w:cs="Times New Roman"/>
                <w:lang w:val="kk-KZ"/>
              </w:rPr>
              <w:t>Калибратор МЕК-</w:t>
            </w:r>
            <w:r w:rsidRPr="00786EE2">
              <w:rPr>
                <w:rFonts w:ascii="Times New Roman" w:hAnsi="Times New Roman" w:cs="Times New Roman"/>
                <w:lang w:val="en-US"/>
              </w:rPr>
              <w:t>Cal</w:t>
            </w:r>
          </w:p>
        </w:tc>
        <w:tc>
          <w:tcPr>
            <w:tcW w:w="1984" w:type="dxa"/>
          </w:tcPr>
          <w:p w:rsidR="00786EE2" w:rsidRPr="00786EE2" w:rsidRDefault="00786EE2" w:rsidP="008C61D5">
            <w:pPr>
              <w:tabs>
                <w:tab w:val="left" w:pos="3070"/>
                <w:tab w:val="left" w:pos="6400"/>
              </w:tabs>
              <w:rPr>
                <w:rFonts w:ascii="Times New Roman" w:hAnsi="Times New Roman" w:cs="Times New Roman"/>
                <w:lang w:val="kk-KZ"/>
              </w:rPr>
            </w:pPr>
            <w:r w:rsidRPr="00786EE2">
              <w:rPr>
                <w:rFonts w:ascii="Times New Roman" w:hAnsi="Times New Roman" w:cs="Times New Roman"/>
                <w:lang w:val="kk-KZ"/>
              </w:rPr>
              <w:t>Предназначен для калибровки гематологического анализатора.</w:t>
            </w:r>
          </w:p>
        </w:tc>
        <w:tc>
          <w:tcPr>
            <w:tcW w:w="709" w:type="dxa"/>
            <w:noWrap/>
          </w:tcPr>
          <w:p w:rsidR="00786EE2" w:rsidRPr="00786EE2" w:rsidRDefault="00786EE2" w:rsidP="008C61D5">
            <w:pPr>
              <w:tabs>
                <w:tab w:val="left" w:pos="3070"/>
                <w:tab w:val="left" w:pos="6400"/>
              </w:tabs>
              <w:jc w:val="center"/>
              <w:rPr>
                <w:rFonts w:ascii="Times New Roman" w:hAnsi="Times New Roman" w:cs="Times New Roman"/>
              </w:rPr>
            </w:pPr>
            <w:proofErr w:type="spellStart"/>
            <w:r w:rsidRPr="00786EE2">
              <w:rPr>
                <w:rFonts w:ascii="Times New Roman" w:hAnsi="Times New Roman" w:cs="Times New Roman"/>
              </w:rPr>
              <w:t>уп</w:t>
            </w:r>
            <w:proofErr w:type="spellEnd"/>
          </w:p>
        </w:tc>
        <w:tc>
          <w:tcPr>
            <w:tcW w:w="567" w:type="dxa"/>
            <w:noWrap/>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1</w:t>
            </w:r>
          </w:p>
        </w:tc>
        <w:tc>
          <w:tcPr>
            <w:tcW w:w="851" w:type="dxa"/>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47300</w:t>
            </w:r>
          </w:p>
        </w:tc>
        <w:tc>
          <w:tcPr>
            <w:tcW w:w="1134" w:type="dxa"/>
          </w:tcPr>
          <w:p w:rsidR="00786EE2" w:rsidRPr="00786EE2" w:rsidRDefault="00786EE2" w:rsidP="008C61D5">
            <w:pPr>
              <w:spacing w:after="0"/>
              <w:jc w:val="center"/>
              <w:rPr>
                <w:rFonts w:ascii="Times New Roman" w:hAnsi="Times New Roman" w:cs="Times New Roman"/>
                <w:color w:val="000000"/>
                <w:lang w:val="kk-KZ"/>
              </w:rPr>
            </w:pPr>
            <w:r w:rsidRPr="00786EE2">
              <w:rPr>
                <w:rFonts w:ascii="Times New Roman" w:hAnsi="Times New Roman" w:cs="Times New Roman"/>
                <w:color w:val="000000"/>
                <w:lang w:val="kk-KZ"/>
              </w:rPr>
              <w:t>47 300</w:t>
            </w:r>
          </w:p>
        </w:tc>
        <w:tc>
          <w:tcPr>
            <w:tcW w:w="992" w:type="dxa"/>
            <w:vMerge/>
          </w:tcPr>
          <w:p w:rsidR="00786EE2" w:rsidRPr="00786EE2" w:rsidRDefault="00786EE2" w:rsidP="008C61D5">
            <w:pPr>
              <w:spacing w:after="0"/>
              <w:jc w:val="center"/>
              <w:rPr>
                <w:rFonts w:ascii="Times New Roman" w:hAnsi="Times New Roman" w:cs="Times New Roman"/>
                <w:color w:val="000000"/>
                <w:lang w:val="kk-KZ"/>
              </w:rPr>
            </w:pPr>
          </w:p>
        </w:tc>
        <w:tc>
          <w:tcPr>
            <w:tcW w:w="1701" w:type="dxa"/>
            <w:vMerge/>
          </w:tcPr>
          <w:p w:rsidR="00786EE2" w:rsidRPr="00786EE2" w:rsidRDefault="00786EE2" w:rsidP="008C61D5">
            <w:pPr>
              <w:spacing w:after="0"/>
              <w:jc w:val="center"/>
              <w:rPr>
                <w:rFonts w:ascii="Times New Roman" w:hAnsi="Times New Roman" w:cs="Times New Roman"/>
                <w:color w:val="000000"/>
                <w:lang w:val="kk-KZ"/>
              </w:rPr>
            </w:pPr>
          </w:p>
        </w:tc>
      </w:tr>
      <w:tr w:rsidR="00786EE2" w:rsidRPr="00786EE2" w:rsidTr="00BC1DCF">
        <w:trPr>
          <w:trHeight w:val="317"/>
        </w:trPr>
        <w:tc>
          <w:tcPr>
            <w:tcW w:w="817" w:type="dxa"/>
            <w:noWrap/>
          </w:tcPr>
          <w:p w:rsidR="00786EE2" w:rsidRPr="00786EE2" w:rsidRDefault="00786EE2" w:rsidP="008C61D5">
            <w:pPr>
              <w:spacing w:after="0"/>
              <w:jc w:val="center"/>
              <w:rPr>
                <w:rFonts w:ascii="Times New Roman" w:hAnsi="Times New Roman" w:cs="Times New Roman"/>
                <w:lang w:val="kk-KZ"/>
              </w:rPr>
            </w:pPr>
            <w:r w:rsidRPr="00786EE2">
              <w:rPr>
                <w:rFonts w:ascii="Times New Roman" w:hAnsi="Times New Roman" w:cs="Times New Roman"/>
                <w:lang w:val="kk-KZ"/>
              </w:rPr>
              <w:t>6</w:t>
            </w:r>
          </w:p>
        </w:tc>
        <w:tc>
          <w:tcPr>
            <w:tcW w:w="1843" w:type="dxa"/>
            <w:noWrap/>
          </w:tcPr>
          <w:p w:rsidR="00786EE2" w:rsidRPr="00786EE2" w:rsidRDefault="00786EE2" w:rsidP="008C61D5">
            <w:pPr>
              <w:tabs>
                <w:tab w:val="left" w:pos="3070"/>
                <w:tab w:val="left" w:pos="6400"/>
              </w:tabs>
              <w:rPr>
                <w:rFonts w:ascii="Times New Roman" w:hAnsi="Times New Roman" w:cs="Times New Roman"/>
                <w:lang w:val="kk-KZ"/>
              </w:rPr>
            </w:pPr>
            <w:r w:rsidRPr="00786EE2">
              <w:rPr>
                <w:rFonts w:ascii="Times New Roman" w:hAnsi="Times New Roman" w:cs="Times New Roman"/>
                <w:lang w:val="kk-KZ"/>
              </w:rPr>
              <w:t>Трубка для насоса</w:t>
            </w:r>
          </w:p>
        </w:tc>
        <w:tc>
          <w:tcPr>
            <w:tcW w:w="1984" w:type="dxa"/>
          </w:tcPr>
          <w:p w:rsidR="00786EE2" w:rsidRPr="00786EE2" w:rsidRDefault="00786EE2" w:rsidP="008C61D5">
            <w:pPr>
              <w:tabs>
                <w:tab w:val="left" w:pos="3070"/>
                <w:tab w:val="left" w:pos="6400"/>
              </w:tabs>
              <w:rPr>
                <w:rFonts w:ascii="Times New Roman" w:hAnsi="Times New Roman" w:cs="Times New Roman"/>
                <w:lang w:val="kk-KZ"/>
              </w:rPr>
            </w:pPr>
            <w:r w:rsidRPr="00786EE2">
              <w:rPr>
                <w:rFonts w:ascii="Times New Roman" w:hAnsi="Times New Roman" w:cs="Times New Roman"/>
                <w:lang w:val="kk-KZ"/>
              </w:rPr>
              <w:t>Трубка перистальтического насоса  предназначена для перекачивания растворов  из канистр в анализатор.</w:t>
            </w:r>
          </w:p>
        </w:tc>
        <w:tc>
          <w:tcPr>
            <w:tcW w:w="709" w:type="dxa"/>
            <w:noWrap/>
          </w:tcPr>
          <w:p w:rsidR="00786EE2" w:rsidRPr="00786EE2" w:rsidRDefault="00786EE2" w:rsidP="008C61D5">
            <w:pPr>
              <w:tabs>
                <w:tab w:val="left" w:pos="3070"/>
                <w:tab w:val="left" w:pos="6400"/>
              </w:tabs>
              <w:jc w:val="center"/>
              <w:rPr>
                <w:rFonts w:ascii="Times New Roman" w:hAnsi="Times New Roman" w:cs="Times New Roman"/>
              </w:rPr>
            </w:pPr>
            <w:proofErr w:type="spellStart"/>
            <w:proofErr w:type="gramStart"/>
            <w:r w:rsidRPr="00786EE2">
              <w:rPr>
                <w:rFonts w:ascii="Times New Roman" w:hAnsi="Times New Roman" w:cs="Times New Roman"/>
              </w:rPr>
              <w:t>шт</w:t>
            </w:r>
            <w:proofErr w:type="spellEnd"/>
            <w:proofErr w:type="gramEnd"/>
          </w:p>
        </w:tc>
        <w:tc>
          <w:tcPr>
            <w:tcW w:w="567" w:type="dxa"/>
            <w:noWrap/>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2</w:t>
            </w:r>
          </w:p>
        </w:tc>
        <w:tc>
          <w:tcPr>
            <w:tcW w:w="851" w:type="dxa"/>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54800</w:t>
            </w:r>
          </w:p>
        </w:tc>
        <w:tc>
          <w:tcPr>
            <w:tcW w:w="1134" w:type="dxa"/>
          </w:tcPr>
          <w:p w:rsidR="00786EE2" w:rsidRPr="00786EE2" w:rsidRDefault="00786EE2" w:rsidP="008C61D5">
            <w:pPr>
              <w:spacing w:after="0"/>
              <w:jc w:val="center"/>
              <w:rPr>
                <w:rFonts w:ascii="Times New Roman" w:hAnsi="Times New Roman" w:cs="Times New Roman"/>
                <w:color w:val="000000"/>
                <w:lang w:val="kk-KZ"/>
              </w:rPr>
            </w:pPr>
            <w:r w:rsidRPr="00786EE2">
              <w:rPr>
                <w:rFonts w:ascii="Times New Roman" w:hAnsi="Times New Roman" w:cs="Times New Roman"/>
                <w:color w:val="000000"/>
                <w:lang w:val="kk-KZ"/>
              </w:rPr>
              <w:t>109 600</w:t>
            </w:r>
          </w:p>
        </w:tc>
        <w:tc>
          <w:tcPr>
            <w:tcW w:w="992" w:type="dxa"/>
            <w:vMerge/>
          </w:tcPr>
          <w:p w:rsidR="00786EE2" w:rsidRPr="00786EE2" w:rsidRDefault="00786EE2" w:rsidP="008C61D5">
            <w:pPr>
              <w:spacing w:after="0"/>
              <w:jc w:val="center"/>
              <w:rPr>
                <w:rFonts w:ascii="Times New Roman" w:hAnsi="Times New Roman" w:cs="Times New Roman"/>
                <w:color w:val="000000"/>
                <w:lang w:val="kk-KZ"/>
              </w:rPr>
            </w:pPr>
          </w:p>
        </w:tc>
        <w:tc>
          <w:tcPr>
            <w:tcW w:w="1701" w:type="dxa"/>
            <w:vMerge/>
          </w:tcPr>
          <w:p w:rsidR="00786EE2" w:rsidRPr="00786EE2" w:rsidRDefault="00786EE2" w:rsidP="008C61D5">
            <w:pPr>
              <w:spacing w:after="0"/>
              <w:jc w:val="center"/>
              <w:rPr>
                <w:rFonts w:ascii="Times New Roman" w:hAnsi="Times New Roman" w:cs="Times New Roman"/>
                <w:color w:val="000000"/>
                <w:lang w:val="kk-KZ"/>
              </w:rPr>
            </w:pPr>
          </w:p>
        </w:tc>
      </w:tr>
      <w:tr w:rsidR="00786EE2" w:rsidRPr="00786EE2" w:rsidTr="00BC1DCF">
        <w:trPr>
          <w:trHeight w:val="317"/>
        </w:trPr>
        <w:tc>
          <w:tcPr>
            <w:tcW w:w="817" w:type="dxa"/>
            <w:noWrap/>
          </w:tcPr>
          <w:p w:rsidR="00786EE2" w:rsidRPr="00786EE2" w:rsidRDefault="00786EE2" w:rsidP="008C61D5">
            <w:pPr>
              <w:spacing w:after="0"/>
              <w:jc w:val="center"/>
              <w:rPr>
                <w:rFonts w:ascii="Times New Roman" w:hAnsi="Times New Roman" w:cs="Times New Roman"/>
                <w:lang w:val="kk-KZ"/>
              </w:rPr>
            </w:pPr>
            <w:r w:rsidRPr="00786EE2">
              <w:rPr>
                <w:rFonts w:ascii="Times New Roman" w:hAnsi="Times New Roman" w:cs="Times New Roman"/>
                <w:lang w:val="kk-KZ"/>
              </w:rPr>
              <w:t>7</w:t>
            </w:r>
          </w:p>
        </w:tc>
        <w:tc>
          <w:tcPr>
            <w:tcW w:w="1843" w:type="dxa"/>
            <w:noWrap/>
          </w:tcPr>
          <w:p w:rsidR="00786EE2" w:rsidRPr="00786EE2" w:rsidRDefault="00786EE2" w:rsidP="008C61D5">
            <w:pPr>
              <w:tabs>
                <w:tab w:val="left" w:pos="3070"/>
                <w:tab w:val="left" w:pos="6400"/>
              </w:tabs>
              <w:rPr>
                <w:rFonts w:ascii="Times New Roman" w:hAnsi="Times New Roman" w:cs="Times New Roman"/>
                <w:lang w:val="kk-KZ"/>
              </w:rPr>
            </w:pPr>
            <w:r w:rsidRPr="00786EE2">
              <w:rPr>
                <w:rFonts w:ascii="Times New Roman" w:hAnsi="Times New Roman" w:cs="Times New Roman"/>
                <w:lang w:val="kk-KZ"/>
              </w:rPr>
              <w:t>Фильтр</w:t>
            </w:r>
          </w:p>
        </w:tc>
        <w:tc>
          <w:tcPr>
            <w:tcW w:w="1984" w:type="dxa"/>
          </w:tcPr>
          <w:p w:rsidR="00786EE2" w:rsidRPr="00786EE2" w:rsidRDefault="00786EE2" w:rsidP="008C61D5">
            <w:pPr>
              <w:tabs>
                <w:tab w:val="left" w:pos="3070"/>
                <w:tab w:val="left" w:pos="6400"/>
              </w:tabs>
              <w:rPr>
                <w:rFonts w:ascii="Times New Roman" w:hAnsi="Times New Roman" w:cs="Times New Roman"/>
                <w:lang w:val="kk-KZ"/>
              </w:rPr>
            </w:pPr>
            <w:r w:rsidRPr="00786EE2">
              <w:rPr>
                <w:rFonts w:ascii="Times New Roman" w:hAnsi="Times New Roman" w:cs="Times New Roman"/>
                <w:lang w:val="kk-KZ"/>
              </w:rPr>
              <w:t>Фильтр гемоглобина предназначен для фильтрации от сгустков крови.</w:t>
            </w:r>
          </w:p>
        </w:tc>
        <w:tc>
          <w:tcPr>
            <w:tcW w:w="709" w:type="dxa"/>
            <w:noWrap/>
          </w:tcPr>
          <w:p w:rsidR="00786EE2" w:rsidRPr="00786EE2" w:rsidRDefault="00786EE2" w:rsidP="008C61D5">
            <w:pPr>
              <w:tabs>
                <w:tab w:val="left" w:pos="3070"/>
                <w:tab w:val="left" w:pos="6400"/>
              </w:tabs>
              <w:jc w:val="center"/>
              <w:rPr>
                <w:rFonts w:ascii="Times New Roman" w:hAnsi="Times New Roman" w:cs="Times New Roman"/>
              </w:rPr>
            </w:pPr>
            <w:proofErr w:type="spellStart"/>
            <w:proofErr w:type="gramStart"/>
            <w:r w:rsidRPr="00786EE2">
              <w:rPr>
                <w:rFonts w:ascii="Times New Roman" w:hAnsi="Times New Roman" w:cs="Times New Roman"/>
              </w:rPr>
              <w:t>шт</w:t>
            </w:r>
            <w:proofErr w:type="spellEnd"/>
            <w:proofErr w:type="gramEnd"/>
          </w:p>
        </w:tc>
        <w:tc>
          <w:tcPr>
            <w:tcW w:w="567" w:type="dxa"/>
            <w:noWrap/>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5</w:t>
            </w:r>
          </w:p>
        </w:tc>
        <w:tc>
          <w:tcPr>
            <w:tcW w:w="851" w:type="dxa"/>
          </w:tcPr>
          <w:p w:rsidR="00786EE2" w:rsidRPr="00786EE2" w:rsidRDefault="00786EE2" w:rsidP="008C61D5">
            <w:pPr>
              <w:tabs>
                <w:tab w:val="left" w:pos="3070"/>
                <w:tab w:val="left" w:pos="6400"/>
              </w:tabs>
              <w:jc w:val="center"/>
              <w:rPr>
                <w:rFonts w:ascii="Times New Roman" w:hAnsi="Times New Roman" w:cs="Times New Roman"/>
                <w:lang w:val="kk-KZ"/>
              </w:rPr>
            </w:pPr>
            <w:r w:rsidRPr="00786EE2">
              <w:rPr>
                <w:rFonts w:ascii="Times New Roman" w:hAnsi="Times New Roman" w:cs="Times New Roman"/>
                <w:lang w:val="kk-KZ"/>
              </w:rPr>
              <w:t>4800</w:t>
            </w:r>
          </w:p>
        </w:tc>
        <w:tc>
          <w:tcPr>
            <w:tcW w:w="1134" w:type="dxa"/>
          </w:tcPr>
          <w:p w:rsidR="00786EE2" w:rsidRPr="00786EE2" w:rsidRDefault="00786EE2" w:rsidP="008C61D5">
            <w:pPr>
              <w:spacing w:after="0"/>
              <w:jc w:val="center"/>
              <w:rPr>
                <w:rFonts w:ascii="Times New Roman" w:hAnsi="Times New Roman" w:cs="Times New Roman"/>
                <w:color w:val="000000"/>
                <w:lang w:val="kk-KZ"/>
              </w:rPr>
            </w:pPr>
            <w:r w:rsidRPr="00786EE2">
              <w:rPr>
                <w:rFonts w:ascii="Times New Roman" w:hAnsi="Times New Roman" w:cs="Times New Roman"/>
                <w:color w:val="000000"/>
                <w:lang w:val="kk-KZ"/>
              </w:rPr>
              <w:t>24 000</w:t>
            </w:r>
          </w:p>
        </w:tc>
        <w:tc>
          <w:tcPr>
            <w:tcW w:w="992" w:type="dxa"/>
            <w:vMerge/>
          </w:tcPr>
          <w:p w:rsidR="00786EE2" w:rsidRPr="00786EE2" w:rsidRDefault="00786EE2" w:rsidP="008C61D5">
            <w:pPr>
              <w:spacing w:after="0"/>
              <w:jc w:val="center"/>
              <w:rPr>
                <w:rFonts w:ascii="Times New Roman" w:hAnsi="Times New Roman" w:cs="Times New Roman"/>
                <w:color w:val="000000"/>
                <w:lang w:val="kk-KZ"/>
              </w:rPr>
            </w:pPr>
          </w:p>
        </w:tc>
        <w:tc>
          <w:tcPr>
            <w:tcW w:w="1701" w:type="dxa"/>
            <w:vMerge/>
          </w:tcPr>
          <w:p w:rsidR="00786EE2" w:rsidRPr="00786EE2" w:rsidRDefault="00786EE2" w:rsidP="008C61D5">
            <w:pPr>
              <w:spacing w:after="0"/>
              <w:jc w:val="center"/>
              <w:rPr>
                <w:rFonts w:ascii="Times New Roman" w:hAnsi="Times New Roman" w:cs="Times New Roman"/>
                <w:color w:val="000000"/>
                <w:lang w:val="kk-KZ"/>
              </w:rPr>
            </w:pPr>
          </w:p>
        </w:tc>
      </w:tr>
    </w:tbl>
    <w:p w:rsidR="00CA6FE4" w:rsidRPr="00786EE2" w:rsidRDefault="00CA6FE4" w:rsidP="00CA6FE4">
      <w:pPr>
        <w:pStyle w:val="j15"/>
        <w:shd w:val="clear" w:color="auto" w:fill="FFFFFF"/>
        <w:spacing w:before="0" w:beforeAutospacing="0" w:after="0" w:afterAutospacing="0"/>
        <w:textAlignment w:val="baseline"/>
        <w:rPr>
          <w:b/>
          <w:i/>
          <w:sz w:val="22"/>
          <w:szCs w:val="22"/>
        </w:rPr>
      </w:pPr>
    </w:p>
    <w:p w:rsidR="00CA6FE4" w:rsidRPr="00786EE2" w:rsidRDefault="00CA6FE4"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4927"/>
      </w:tblGrid>
      <w:tr w:rsidR="005A2501" w:rsidRPr="00CA6FE4" w:rsidTr="005A2501">
        <w:tc>
          <w:tcPr>
            <w:tcW w:w="4820"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r w:rsidR="00786EE2" w:rsidRPr="00786EE2">
              <w:rPr>
                <w:sz w:val="20"/>
                <w:lang w:val="kk-KZ" w:eastAsia="en-US"/>
              </w:rPr>
              <w:t>05826H0KZTD2003184</w:t>
            </w:r>
            <w:r w:rsidRPr="00CA6FE4">
              <w:rPr>
                <w:sz w:val="20"/>
                <w:lang w:val="kk-KZ" w:eastAsia="en-US"/>
              </w:rPr>
              <w:t xml:space="preserve"> </w:t>
            </w:r>
          </w:p>
          <w:p w:rsidR="00CA6FE4" w:rsidRPr="00CA6FE4" w:rsidRDefault="00CA6FE4" w:rsidP="00FD460E">
            <w:pPr>
              <w:pStyle w:val="2"/>
              <w:ind w:left="0"/>
              <w:rPr>
                <w:sz w:val="20"/>
                <w:lang w:val="kk-KZ" w:eastAsia="en-US"/>
              </w:rPr>
            </w:pPr>
            <w:r w:rsidRPr="00CA6FE4">
              <w:rPr>
                <w:sz w:val="20"/>
                <w:lang w:val="kk-KZ" w:eastAsia="en-US"/>
              </w:rPr>
              <w:t>БИК  TSESKZKA, АО «</w:t>
            </w:r>
            <w:r w:rsidR="00786EE2">
              <w:rPr>
                <w:sz w:val="20"/>
                <w:lang w:val="kk-KZ" w:eastAsia="en-US"/>
              </w:rPr>
              <w:t>АТФ Банк</w:t>
            </w:r>
            <w:r w:rsidRPr="00CA6FE4">
              <w:rPr>
                <w:sz w:val="20"/>
                <w:lang w:val="kk-KZ" w:eastAsia="en-US"/>
              </w:rPr>
              <w:t>»,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CA6FE4" w:rsidRPr="00CA6FE4" w:rsidRDefault="00CA6FE4" w:rsidP="00FD460E">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Pr="00CA6FE4">
              <w:rPr>
                <w:sz w:val="20"/>
                <w:lang w:val="kk-KZ" w:eastAsia="en-US"/>
              </w:rPr>
              <w:t xml:space="preserve">  </w:t>
            </w:r>
          </w:p>
          <w:p w:rsidR="00CA6FE4" w:rsidRPr="00CA6FE4" w:rsidRDefault="00CA6FE4" w:rsidP="00FD460E">
            <w:pPr>
              <w:rPr>
                <w:rFonts w:ascii="Times New Roman" w:hAnsi="Times New Roman"/>
                <w:sz w:val="20"/>
                <w:szCs w:val="20"/>
                <w:lang w:val="kk-KZ"/>
              </w:rPr>
            </w:pPr>
          </w:p>
          <w:p w:rsidR="005A2501" w:rsidRDefault="005A2501" w:rsidP="00FD460E">
            <w:pPr>
              <w:rPr>
                <w:rFonts w:ascii="Times New Roman" w:hAnsi="Times New Roman"/>
                <w:b/>
                <w:sz w:val="20"/>
                <w:szCs w:val="20"/>
                <w:lang w:val="kk-KZ"/>
              </w:rPr>
            </w:pP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283"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C42" w:rsidRDefault="00852C42" w:rsidP="00DB5225">
      <w:pPr>
        <w:spacing w:after="0" w:line="240" w:lineRule="auto"/>
      </w:pPr>
      <w:r>
        <w:separator/>
      </w:r>
    </w:p>
  </w:endnote>
  <w:endnote w:type="continuationSeparator" w:id="0">
    <w:p w:rsidR="00852C42" w:rsidRDefault="00852C42"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C42" w:rsidRDefault="00852C42" w:rsidP="00DB5225">
      <w:pPr>
        <w:spacing w:after="0" w:line="240" w:lineRule="auto"/>
      </w:pPr>
      <w:r>
        <w:separator/>
      </w:r>
    </w:p>
  </w:footnote>
  <w:footnote w:type="continuationSeparator" w:id="0">
    <w:p w:rsidR="00852C42" w:rsidRDefault="00852C42"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2A563B"/>
    <w:rsid w:val="00353506"/>
    <w:rsid w:val="003F6D57"/>
    <w:rsid w:val="0047382B"/>
    <w:rsid w:val="005A2501"/>
    <w:rsid w:val="00635A89"/>
    <w:rsid w:val="00786EE2"/>
    <w:rsid w:val="00852C42"/>
    <w:rsid w:val="008B510C"/>
    <w:rsid w:val="00B3508D"/>
    <w:rsid w:val="00B41976"/>
    <w:rsid w:val="00B656C2"/>
    <w:rsid w:val="00BC1DCF"/>
    <w:rsid w:val="00C014CB"/>
    <w:rsid w:val="00CA6FE4"/>
    <w:rsid w:val="00DB5225"/>
    <w:rsid w:val="00F254AF"/>
    <w:rsid w:val="00F6011A"/>
    <w:rsid w:val="00FA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2719</Words>
  <Characters>15501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cp:revision>
  <dcterms:created xsi:type="dcterms:W3CDTF">2019-04-15T05:40:00Z</dcterms:created>
  <dcterms:modified xsi:type="dcterms:W3CDTF">2019-04-24T11:22:00Z</dcterms:modified>
</cp:coreProperties>
</file>