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F61BB7"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59"/>
        <w:gridCol w:w="851"/>
        <w:gridCol w:w="850"/>
        <w:gridCol w:w="1134"/>
        <w:gridCol w:w="851"/>
        <w:gridCol w:w="1275"/>
        <w:gridCol w:w="993"/>
      </w:tblGrid>
      <w:tr w:rsidR="00CA6FE4" w:rsidRPr="00A015E3" w:rsidTr="00FC4A17">
        <w:trPr>
          <w:trHeight w:val="986"/>
        </w:trPr>
        <w:tc>
          <w:tcPr>
            <w:tcW w:w="567"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 лота </w:t>
            </w:r>
          </w:p>
          <w:p w:rsidR="00CA6FE4" w:rsidRPr="00CA6FE4" w:rsidRDefault="00CA6FE4" w:rsidP="00FD460E">
            <w:pPr>
              <w:spacing w:after="0" w:line="240" w:lineRule="auto"/>
              <w:rPr>
                <w:rFonts w:ascii="Times New Roman" w:hAnsi="Times New Roman"/>
                <w:b/>
                <w:bCs/>
                <w:sz w:val="18"/>
                <w:szCs w:val="18"/>
              </w:rPr>
            </w:pPr>
          </w:p>
        </w:tc>
        <w:tc>
          <w:tcPr>
            <w:tcW w:w="1985"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Наименование </w:t>
            </w:r>
          </w:p>
        </w:tc>
        <w:tc>
          <w:tcPr>
            <w:tcW w:w="1559"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Техническая спецификация </w:t>
            </w:r>
          </w:p>
        </w:tc>
        <w:tc>
          <w:tcPr>
            <w:tcW w:w="851"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Ед. изм.</w:t>
            </w:r>
          </w:p>
        </w:tc>
        <w:tc>
          <w:tcPr>
            <w:tcW w:w="850"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Кол-во </w:t>
            </w:r>
          </w:p>
        </w:tc>
        <w:tc>
          <w:tcPr>
            <w:tcW w:w="1134"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Цена </w:t>
            </w:r>
            <w:proofErr w:type="gramStart"/>
            <w:r w:rsidRPr="00CA6FE4">
              <w:rPr>
                <w:rFonts w:ascii="Times New Roman" w:hAnsi="Times New Roman"/>
                <w:b/>
                <w:bCs/>
                <w:sz w:val="18"/>
                <w:szCs w:val="18"/>
              </w:rPr>
              <w:t>за</w:t>
            </w:r>
            <w:proofErr w:type="gramEnd"/>
            <w:r w:rsidRPr="00CA6FE4">
              <w:rPr>
                <w:rFonts w:ascii="Times New Roman" w:hAnsi="Times New Roman"/>
                <w:b/>
                <w:bCs/>
                <w:sz w:val="18"/>
                <w:szCs w:val="18"/>
              </w:rPr>
              <w:t xml:space="preserve"> </w:t>
            </w:r>
            <w:proofErr w:type="gramStart"/>
            <w:r w:rsidRPr="00CA6FE4">
              <w:rPr>
                <w:rFonts w:ascii="Times New Roman" w:hAnsi="Times New Roman"/>
                <w:b/>
                <w:bCs/>
                <w:sz w:val="18"/>
                <w:szCs w:val="18"/>
              </w:rPr>
              <w:t>единиц</w:t>
            </w:r>
            <w:proofErr w:type="gramEnd"/>
            <w:r w:rsidRPr="00CA6FE4">
              <w:rPr>
                <w:rFonts w:ascii="Times New Roman" w:hAnsi="Times New Roman"/>
                <w:b/>
                <w:bCs/>
                <w:sz w:val="18"/>
                <w:szCs w:val="18"/>
              </w:rPr>
              <w:t>, тенге</w:t>
            </w:r>
          </w:p>
        </w:tc>
        <w:tc>
          <w:tcPr>
            <w:tcW w:w="851"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Сумма </w:t>
            </w:r>
          </w:p>
        </w:tc>
        <w:tc>
          <w:tcPr>
            <w:tcW w:w="1275"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Место поставки </w:t>
            </w:r>
          </w:p>
        </w:tc>
        <w:tc>
          <w:tcPr>
            <w:tcW w:w="993"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Срок поставки </w:t>
            </w:r>
          </w:p>
        </w:tc>
      </w:tr>
      <w:tr w:rsidR="008E0E7C" w:rsidRPr="00A015E3" w:rsidTr="00FC4A17">
        <w:trPr>
          <w:trHeight w:val="435"/>
        </w:trPr>
        <w:tc>
          <w:tcPr>
            <w:tcW w:w="567" w:type="dxa"/>
            <w:noWrap/>
          </w:tcPr>
          <w:p w:rsidR="008E0E7C" w:rsidRPr="00CA6FE4" w:rsidRDefault="008E0E7C" w:rsidP="00FC4A17">
            <w:pPr>
              <w:spacing w:after="0" w:line="240" w:lineRule="auto"/>
              <w:jc w:val="center"/>
              <w:rPr>
                <w:rFonts w:ascii="Times New Roman" w:hAnsi="Times New Roman"/>
                <w:sz w:val="18"/>
                <w:szCs w:val="18"/>
              </w:rPr>
            </w:pPr>
            <w:r>
              <w:rPr>
                <w:rFonts w:ascii="Times New Roman" w:hAnsi="Times New Roman"/>
                <w:sz w:val="18"/>
                <w:szCs w:val="18"/>
              </w:rPr>
              <w:t>1</w:t>
            </w:r>
          </w:p>
        </w:tc>
        <w:tc>
          <w:tcPr>
            <w:tcW w:w="1985" w:type="dxa"/>
            <w:noWrap/>
          </w:tcPr>
          <w:p w:rsidR="008E0E7C" w:rsidRPr="008E0E7C" w:rsidRDefault="008E0E7C" w:rsidP="00805C3E">
            <w:pPr>
              <w:rPr>
                <w:rFonts w:ascii="Times New Roman" w:hAnsi="Times New Roman" w:cs="Times New Roman"/>
                <w:sz w:val="18"/>
                <w:szCs w:val="18"/>
              </w:rPr>
            </w:pPr>
            <w:r w:rsidRPr="008E0E7C">
              <w:rPr>
                <w:rFonts w:ascii="Times New Roman" w:hAnsi="Times New Roman"/>
                <w:sz w:val="18"/>
                <w:szCs w:val="18"/>
                <w:lang w:val="en-US"/>
              </w:rPr>
              <w:t>ORS</w:t>
            </w:r>
            <w:bookmarkStart w:id="50" w:name="_GoBack"/>
            <w:bookmarkEnd w:id="50"/>
          </w:p>
        </w:tc>
        <w:tc>
          <w:tcPr>
            <w:tcW w:w="1559" w:type="dxa"/>
          </w:tcPr>
          <w:p w:rsidR="008E0E7C" w:rsidRPr="008E0E7C" w:rsidRDefault="008E0E7C" w:rsidP="00805C3E">
            <w:pPr>
              <w:rPr>
                <w:rFonts w:ascii="Times New Roman" w:hAnsi="Times New Roman"/>
                <w:sz w:val="18"/>
                <w:szCs w:val="18"/>
              </w:rPr>
            </w:pPr>
            <w:proofErr w:type="spellStart"/>
            <w:r w:rsidRPr="008E0E7C">
              <w:rPr>
                <w:rFonts w:ascii="Times New Roman" w:hAnsi="Times New Roman"/>
                <w:sz w:val="18"/>
                <w:szCs w:val="18"/>
                <w:lang w:val="en-US"/>
              </w:rPr>
              <w:t>оральная</w:t>
            </w:r>
            <w:proofErr w:type="spellEnd"/>
            <w:r w:rsidRPr="008E0E7C">
              <w:rPr>
                <w:rFonts w:ascii="Times New Roman" w:hAnsi="Times New Roman"/>
                <w:sz w:val="18"/>
                <w:szCs w:val="18"/>
                <w:lang w:val="en-US"/>
              </w:rPr>
              <w:t xml:space="preserve"> </w:t>
            </w:r>
            <w:proofErr w:type="spellStart"/>
            <w:r w:rsidRPr="008E0E7C">
              <w:rPr>
                <w:rFonts w:ascii="Times New Roman" w:hAnsi="Times New Roman"/>
                <w:sz w:val="18"/>
                <w:szCs w:val="18"/>
                <w:lang w:val="en-US"/>
              </w:rPr>
              <w:t>регидрированная</w:t>
            </w:r>
            <w:proofErr w:type="spellEnd"/>
            <w:r w:rsidRPr="008E0E7C">
              <w:rPr>
                <w:rFonts w:ascii="Times New Roman" w:hAnsi="Times New Roman"/>
                <w:sz w:val="18"/>
                <w:szCs w:val="18"/>
                <w:lang w:val="en-US"/>
              </w:rPr>
              <w:t xml:space="preserve"> </w:t>
            </w:r>
            <w:proofErr w:type="spellStart"/>
            <w:r w:rsidRPr="008E0E7C">
              <w:rPr>
                <w:rFonts w:ascii="Times New Roman" w:hAnsi="Times New Roman"/>
                <w:sz w:val="18"/>
                <w:szCs w:val="18"/>
                <w:lang w:val="en-US"/>
              </w:rPr>
              <w:t>соль</w:t>
            </w:r>
            <w:proofErr w:type="spellEnd"/>
          </w:p>
        </w:tc>
        <w:tc>
          <w:tcPr>
            <w:tcW w:w="851" w:type="dxa"/>
            <w:noWrap/>
          </w:tcPr>
          <w:p w:rsidR="008E0E7C" w:rsidRPr="008E0E7C" w:rsidRDefault="008E0E7C" w:rsidP="008E0E7C">
            <w:pPr>
              <w:spacing w:after="0"/>
              <w:jc w:val="right"/>
              <w:rPr>
                <w:rFonts w:ascii="Times New Roman" w:hAnsi="Times New Roman"/>
                <w:sz w:val="18"/>
                <w:szCs w:val="18"/>
              </w:rPr>
            </w:pPr>
            <w:r w:rsidRPr="008E0E7C">
              <w:rPr>
                <w:rFonts w:ascii="Times New Roman" w:hAnsi="Times New Roman"/>
                <w:sz w:val="18"/>
                <w:szCs w:val="18"/>
              </w:rPr>
              <w:t>пакет</w:t>
            </w:r>
          </w:p>
        </w:tc>
        <w:tc>
          <w:tcPr>
            <w:tcW w:w="850" w:type="dxa"/>
            <w:noWrap/>
          </w:tcPr>
          <w:p w:rsidR="008E0E7C" w:rsidRPr="008E0E7C" w:rsidRDefault="008E0E7C" w:rsidP="008E0E7C">
            <w:pPr>
              <w:jc w:val="right"/>
              <w:rPr>
                <w:rFonts w:ascii="Times New Roman" w:hAnsi="Times New Roman"/>
                <w:sz w:val="18"/>
                <w:szCs w:val="18"/>
                <w:lang w:val="kk-KZ"/>
              </w:rPr>
            </w:pPr>
            <w:r w:rsidRPr="008E0E7C">
              <w:rPr>
                <w:rFonts w:ascii="Times New Roman" w:hAnsi="Times New Roman"/>
                <w:sz w:val="18"/>
                <w:szCs w:val="18"/>
                <w:lang w:val="kk-KZ"/>
              </w:rPr>
              <w:t>1800</w:t>
            </w:r>
          </w:p>
        </w:tc>
        <w:tc>
          <w:tcPr>
            <w:tcW w:w="1134" w:type="dxa"/>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150</w:t>
            </w:r>
          </w:p>
        </w:tc>
        <w:tc>
          <w:tcPr>
            <w:tcW w:w="851" w:type="dxa"/>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270000</w:t>
            </w:r>
          </w:p>
        </w:tc>
        <w:tc>
          <w:tcPr>
            <w:tcW w:w="1275" w:type="dxa"/>
            <w:vMerge w:val="restart"/>
          </w:tcPr>
          <w:p w:rsidR="008E0E7C" w:rsidRPr="00CA6FE4" w:rsidRDefault="008E0E7C"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Жамбылская область , г. Тараз, ул. Рысбек батыра, 13 «А».</w:t>
            </w:r>
          </w:p>
        </w:tc>
        <w:tc>
          <w:tcPr>
            <w:tcW w:w="993" w:type="dxa"/>
            <w:vMerge w:val="restart"/>
          </w:tcPr>
          <w:p w:rsidR="008E0E7C" w:rsidRPr="00CA6FE4" w:rsidRDefault="008E0E7C"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8E0E7C" w:rsidRPr="00A015E3" w:rsidTr="00FC4A17">
        <w:trPr>
          <w:trHeight w:val="317"/>
        </w:trPr>
        <w:tc>
          <w:tcPr>
            <w:tcW w:w="567" w:type="dxa"/>
            <w:noWrap/>
          </w:tcPr>
          <w:p w:rsidR="008E0E7C" w:rsidRPr="00A015E3" w:rsidRDefault="008E0E7C" w:rsidP="00FC4A17">
            <w:pPr>
              <w:spacing w:after="0" w:line="240" w:lineRule="auto"/>
              <w:jc w:val="center"/>
              <w:rPr>
                <w:rFonts w:ascii="Times New Roman" w:hAnsi="Times New Roman"/>
                <w:sz w:val="20"/>
                <w:szCs w:val="20"/>
              </w:rPr>
            </w:pPr>
            <w:r>
              <w:rPr>
                <w:rFonts w:ascii="Times New Roman" w:hAnsi="Times New Roman"/>
                <w:sz w:val="20"/>
                <w:szCs w:val="20"/>
              </w:rPr>
              <w:t>2</w:t>
            </w:r>
          </w:p>
        </w:tc>
        <w:tc>
          <w:tcPr>
            <w:tcW w:w="1985" w:type="dxa"/>
            <w:noWrap/>
          </w:tcPr>
          <w:p w:rsidR="008E0E7C" w:rsidRPr="008E0E7C" w:rsidRDefault="008E0E7C" w:rsidP="00805C3E">
            <w:pPr>
              <w:rPr>
                <w:rFonts w:ascii="Times New Roman" w:hAnsi="Times New Roman" w:cs="Times New Roman"/>
                <w:sz w:val="18"/>
                <w:szCs w:val="18"/>
              </w:rPr>
            </w:pPr>
            <w:proofErr w:type="spellStart"/>
            <w:r w:rsidRPr="008E0E7C">
              <w:rPr>
                <w:rFonts w:ascii="Times New Roman" w:hAnsi="Times New Roman" w:cs="Times New Roman"/>
                <w:sz w:val="18"/>
                <w:szCs w:val="18"/>
              </w:rPr>
              <w:t>Азопирам</w:t>
            </w:r>
            <w:proofErr w:type="spellEnd"/>
            <w:r w:rsidRPr="008E0E7C">
              <w:rPr>
                <w:rFonts w:ascii="Times New Roman" w:hAnsi="Times New Roman" w:cs="Times New Roman"/>
                <w:sz w:val="18"/>
                <w:szCs w:val="18"/>
              </w:rPr>
              <w:t xml:space="preserve"> </w:t>
            </w:r>
          </w:p>
        </w:tc>
        <w:tc>
          <w:tcPr>
            <w:tcW w:w="1559" w:type="dxa"/>
          </w:tcPr>
          <w:p w:rsidR="008E0E7C" w:rsidRPr="008E0E7C" w:rsidRDefault="008E0E7C" w:rsidP="00805C3E">
            <w:pPr>
              <w:rPr>
                <w:rFonts w:ascii="Times New Roman" w:hAnsi="Times New Roman"/>
                <w:sz w:val="18"/>
                <w:szCs w:val="18"/>
              </w:rPr>
            </w:pPr>
            <w:r w:rsidRPr="008E0E7C">
              <w:rPr>
                <w:rFonts w:ascii="Times New Roman" w:hAnsi="Times New Roman"/>
                <w:sz w:val="18"/>
                <w:szCs w:val="18"/>
              </w:rPr>
              <w:t>Набор реагентов д/</w:t>
            </w:r>
            <w:proofErr w:type="spellStart"/>
            <w:r w:rsidRPr="008E0E7C">
              <w:rPr>
                <w:rFonts w:ascii="Times New Roman" w:hAnsi="Times New Roman"/>
                <w:sz w:val="18"/>
                <w:szCs w:val="18"/>
              </w:rPr>
              <w:t>предстер</w:t>
            </w:r>
            <w:proofErr w:type="gramStart"/>
            <w:r w:rsidRPr="008E0E7C">
              <w:rPr>
                <w:rFonts w:ascii="Times New Roman" w:hAnsi="Times New Roman"/>
                <w:sz w:val="18"/>
                <w:szCs w:val="18"/>
              </w:rPr>
              <w:t>.к</w:t>
            </w:r>
            <w:proofErr w:type="gramEnd"/>
            <w:r w:rsidRPr="008E0E7C">
              <w:rPr>
                <w:rFonts w:ascii="Times New Roman" w:hAnsi="Times New Roman"/>
                <w:sz w:val="18"/>
                <w:szCs w:val="18"/>
              </w:rPr>
              <w:t>онтроля</w:t>
            </w:r>
            <w:proofErr w:type="spellEnd"/>
            <w:r w:rsidRPr="008E0E7C">
              <w:rPr>
                <w:rFonts w:ascii="Times New Roman" w:hAnsi="Times New Roman"/>
                <w:sz w:val="18"/>
                <w:szCs w:val="18"/>
              </w:rPr>
              <w:t xml:space="preserve"> на 100 мл копл.1</w:t>
            </w:r>
          </w:p>
        </w:tc>
        <w:tc>
          <w:tcPr>
            <w:tcW w:w="851" w:type="dxa"/>
            <w:noWrap/>
          </w:tcPr>
          <w:p w:rsidR="008E0E7C" w:rsidRPr="008E0E7C" w:rsidRDefault="008E0E7C" w:rsidP="008E0E7C">
            <w:pPr>
              <w:spacing w:after="0"/>
              <w:jc w:val="right"/>
              <w:rPr>
                <w:rFonts w:ascii="Times New Roman" w:hAnsi="Times New Roman"/>
                <w:sz w:val="18"/>
                <w:szCs w:val="18"/>
              </w:rPr>
            </w:pPr>
            <w:proofErr w:type="spellStart"/>
            <w:r w:rsidRPr="008E0E7C">
              <w:rPr>
                <w:rFonts w:ascii="Times New Roman" w:hAnsi="Times New Roman"/>
                <w:sz w:val="18"/>
                <w:szCs w:val="18"/>
              </w:rPr>
              <w:t>уп</w:t>
            </w:r>
            <w:proofErr w:type="spellEnd"/>
          </w:p>
        </w:tc>
        <w:tc>
          <w:tcPr>
            <w:tcW w:w="850" w:type="dxa"/>
            <w:noWrap/>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10</w:t>
            </w:r>
          </w:p>
        </w:tc>
        <w:tc>
          <w:tcPr>
            <w:tcW w:w="1134" w:type="dxa"/>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2250</w:t>
            </w:r>
          </w:p>
        </w:tc>
        <w:tc>
          <w:tcPr>
            <w:tcW w:w="851" w:type="dxa"/>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22500</w:t>
            </w:r>
          </w:p>
        </w:tc>
        <w:tc>
          <w:tcPr>
            <w:tcW w:w="1275" w:type="dxa"/>
            <w:vMerge/>
          </w:tcPr>
          <w:p w:rsidR="008E0E7C" w:rsidRPr="00A015E3" w:rsidRDefault="008E0E7C" w:rsidP="00FC4A17">
            <w:pPr>
              <w:spacing w:after="0" w:line="240" w:lineRule="auto"/>
              <w:jc w:val="center"/>
              <w:rPr>
                <w:rFonts w:ascii="Times New Roman" w:hAnsi="Times New Roman"/>
                <w:color w:val="000000"/>
                <w:sz w:val="20"/>
                <w:szCs w:val="20"/>
                <w:lang w:val="kk-KZ"/>
              </w:rPr>
            </w:pPr>
          </w:p>
        </w:tc>
        <w:tc>
          <w:tcPr>
            <w:tcW w:w="993" w:type="dxa"/>
            <w:vMerge/>
          </w:tcPr>
          <w:p w:rsidR="008E0E7C" w:rsidRPr="00A015E3" w:rsidRDefault="008E0E7C" w:rsidP="00FC4A17">
            <w:pPr>
              <w:spacing w:after="0" w:line="240" w:lineRule="auto"/>
              <w:jc w:val="center"/>
              <w:rPr>
                <w:rFonts w:ascii="Times New Roman" w:hAnsi="Times New Roman"/>
                <w:color w:val="000000"/>
                <w:sz w:val="20"/>
                <w:szCs w:val="20"/>
                <w:lang w:val="kk-KZ"/>
              </w:rPr>
            </w:pPr>
          </w:p>
        </w:tc>
      </w:tr>
      <w:tr w:rsidR="008E0E7C" w:rsidRPr="00A015E3" w:rsidTr="00FC4A17">
        <w:trPr>
          <w:trHeight w:val="325"/>
        </w:trPr>
        <w:tc>
          <w:tcPr>
            <w:tcW w:w="567" w:type="dxa"/>
            <w:noWrap/>
          </w:tcPr>
          <w:p w:rsidR="008E0E7C" w:rsidRPr="00A015E3" w:rsidRDefault="008E0E7C" w:rsidP="00FC4A17">
            <w:pPr>
              <w:spacing w:after="0" w:line="240" w:lineRule="auto"/>
              <w:jc w:val="center"/>
              <w:rPr>
                <w:rFonts w:ascii="Times New Roman" w:hAnsi="Times New Roman"/>
                <w:sz w:val="20"/>
                <w:szCs w:val="20"/>
              </w:rPr>
            </w:pPr>
            <w:r>
              <w:rPr>
                <w:rFonts w:ascii="Times New Roman" w:hAnsi="Times New Roman"/>
                <w:sz w:val="20"/>
                <w:szCs w:val="20"/>
              </w:rPr>
              <w:t>3</w:t>
            </w:r>
          </w:p>
        </w:tc>
        <w:tc>
          <w:tcPr>
            <w:tcW w:w="1985" w:type="dxa"/>
            <w:noWrap/>
          </w:tcPr>
          <w:p w:rsidR="008E0E7C" w:rsidRPr="008E0E7C" w:rsidRDefault="008E0E7C" w:rsidP="00805C3E">
            <w:pPr>
              <w:jc w:val="both"/>
              <w:rPr>
                <w:rFonts w:ascii="Times New Roman" w:hAnsi="Times New Roman" w:cs="Times New Roman"/>
                <w:sz w:val="18"/>
                <w:szCs w:val="18"/>
              </w:rPr>
            </w:pPr>
            <w:r w:rsidRPr="008E0E7C">
              <w:rPr>
                <w:rFonts w:ascii="Times New Roman" w:hAnsi="Times New Roman"/>
                <w:sz w:val="18"/>
                <w:szCs w:val="18"/>
              </w:rPr>
              <w:t xml:space="preserve">Термографическая </w:t>
            </w:r>
            <w:proofErr w:type="spellStart"/>
            <w:r w:rsidRPr="008E0E7C">
              <w:rPr>
                <w:rFonts w:ascii="Times New Roman" w:hAnsi="Times New Roman"/>
                <w:sz w:val="18"/>
                <w:szCs w:val="18"/>
              </w:rPr>
              <w:t>мед</w:t>
            </w:r>
            <w:proofErr w:type="gramStart"/>
            <w:r w:rsidRPr="008E0E7C">
              <w:rPr>
                <w:rFonts w:ascii="Times New Roman" w:hAnsi="Times New Roman"/>
                <w:sz w:val="18"/>
                <w:szCs w:val="18"/>
              </w:rPr>
              <w:t>.п</w:t>
            </w:r>
            <w:proofErr w:type="gramEnd"/>
            <w:r w:rsidRPr="008E0E7C">
              <w:rPr>
                <w:rFonts w:ascii="Times New Roman" w:hAnsi="Times New Roman"/>
                <w:sz w:val="18"/>
                <w:szCs w:val="18"/>
              </w:rPr>
              <w:t>ленка</w:t>
            </w:r>
            <w:proofErr w:type="spellEnd"/>
          </w:p>
        </w:tc>
        <w:tc>
          <w:tcPr>
            <w:tcW w:w="1559" w:type="dxa"/>
          </w:tcPr>
          <w:p w:rsidR="008E0E7C" w:rsidRPr="008E0E7C" w:rsidRDefault="008E0E7C" w:rsidP="00805C3E">
            <w:pPr>
              <w:rPr>
                <w:rFonts w:ascii="Times New Roman" w:hAnsi="Times New Roman"/>
                <w:sz w:val="18"/>
                <w:szCs w:val="18"/>
              </w:rPr>
            </w:pPr>
            <w:proofErr w:type="spellStart"/>
            <w:r w:rsidRPr="008E0E7C">
              <w:rPr>
                <w:rFonts w:ascii="Times New Roman" w:hAnsi="Times New Roman"/>
                <w:sz w:val="18"/>
                <w:szCs w:val="18"/>
              </w:rPr>
              <w:t>Drystar</w:t>
            </w:r>
            <w:proofErr w:type="spellEnd"/>
            <w:r w:rsidRPr="008E0E7C">
              <w:rPr>
                <w:rFonts w:ascii="Times New Roman" w:hAnsi="Times New Roman"/>
                <w:sz w:val="18"/>
                <w:szCs w:val="18"/>
              </w:rPr>
              <w:t xml:space="preserve"> DT2B 25х30 №100 (</w:t>
            </w:r>
            <w:proofErr w:type="spellStart"/>
            <w:r w:rsidRPr="008E0E7C">
              <w:rPr>
                <w:rFonts w:ascii="Times New Roman" w:hAnsi="Times New Roman"/>
                <w:sz w:val="18"/>
                <w:szCs w:val="18"/>
              </w:rPr>
              <w:t>маммогр</w:t>
            </w:r>
            <w:proofErr w:type="spellEnd"/>
            <w:r w:rsidRPr="008E0E7C">
              <w:rPr>
                <w:rFonts w:ascii="Times New Roman" w:hAnsi="Times New Roman"/>
                <w:sz w:val="18"/>
                <w:szCs w:val="18"/>
              </w:rPr>
              <w:t>.) (10*12)</w:t>
            </w:r>
          </w:p>
        </w:tc>
        <w:tc>
          <w:tcPr>
            <w:tcW w:w="851" w:type="dxa"/>
            <w:noWrap/>
          </w:tcPr>
          <w:p w:rsidR="008E0E7C" w:rsidRPr="008E0E7C" w:rsidRDefault="008E0E7C" w:rsidP="008E0E7C">
            <w:pPr>
              <w:spacing w:after="0"/>
              <w:jc w:val="right"/>
              <w:rPr>
                <w:rFonts w:ascii="Times New Roman" w:hAnsi="Times New Roman"/>
                <w:sz w:val="18"/>
                <w:szCs w:val="18"/>
              </w:rPr>
            </w:pPr>
            <w:proofErr w:type="spellStart"/>
            <w:r w:rsidRPr="008E0E7C">
              <w:rPr>
                <w:rFonts w:ascii="Times New Roman" w:hAnsi="Times New Roman"/>
                <w:sz w:val="18"/>
                <w:szCs w:val="18"/>
              </w:rPr>
              <w:t>уп</w:t>
            </w:r>
            <w:proofErr w:type="spellEnd"/>
          </w:p>
        </w:tc>
        <w:tc>
          <w:tcPr>
            <w:tcW w:w="850" w:type="dxa"/>
            <w:noWrap/>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10</w:t>
            </w:r>
          </w:p>
        </w:tc>
        <w:tc>
          <w:tcPr>
            <w:tcW w:w="1134" w:type="dxa"/>
          </w:tcPr>
          <w:p w:rsidR="008E0E7C" w:rsidRPr="008E0E7C" w:rsidRDefault="008E0E7C" w:rsidP="008E0E7C">
            <w:pPr>
              <w:spacing w:after="0"/>
              <w:jc w:val="right"/>
              <w:rPr>
                <w:rFonts w:ascii="Times New Roman" w:hAnsi="Times New Roman"/>
                <w:color w:val="000000"/>
                <w:sz w:val="18"/>
                <w:szCs w:val="18"/>
                <w:lang w:val="kk-KZ"/>
              </w:rPr>
            </w:pPr>
            <w:r w:rsidRPr="008E0E7C">
              <w:rPr>
                <w:rFonts w:ascii="Times New Roman" w:hAnsi="Times New Roman"/>
                <w:color w:val="000000"/>
                <w:sz w:val="18"/>
                <w:szCs w:val="18"/>
                <w:lang w:val="kk-KZ"/>
              </w:rPr>
              <w:t>55500</w:t>
            </w:r>
          </w:p>
        </w:tc>
        <w:tc>
          <w:tcPr>
            <w:tcW w:w="851" w:type="dxa"/>
          </w:tcPr>
          <w:p w:rsidR="008E0E7C" w:rsidRPr="008E0E7C" w:rsidRDefault="008E0E7C" w:rsidP="008E0E7C">
            <w:pPr>
              <w:spacing w:after="0"/>
              <w:jc w:val="right"/>
              <w:rPr>
                <w:rFonts w:ascii="Times New Roman" w:hAnsi="Times New Roman"/>
                <w:color w:val="000000"/>
                <w:sz w:val="18"/>
                <w:szCs w:val="18"/>
                <w:lang w:val="kk-KZ"/>
              </w:rPr>
            </w:pPr>
          </w:p>
          <w:p w:rsidR="008E0E7C" w:rsidRPr="008E0E7C" w:rsidRDefault="008E0E7C" w:rsidP="008E0E7C">
            <w:pPr>
              <w:jc w:val="right"/>
              <w:rPr>
                <w:rFonts w:ascii="Times New Roman" w:hAnsi="Times New Roman"/>
                <w:sz w:val="18"/>
                <w:szCs w:val="18"/>
                <w:lang w:val="kk-KZ"/>
              </w:rPr>
            </w:pPr>
            <w:r w:rsidRPr="008E0E7C">
              <w:rPr>
                <w:rFonts w:ascii="Times New Roman" w:hAnsi="Times New Roman"/>
                <w:sz w:val="18"/>
                <w:szCs w:val="18"/>
                <w:lang w:val="kk-KZ"/>
              </w:rPr>
              <w:t>555000</w:t>
            </w:r>
          </w:p>
        </w:tc>
        <w:tc>
          <w:tcPr>
            <w:tcW w:w="1275" w:type="dxa"/>
            <w:vMerge/>
          </w:tcPr>
          <w:p w:rsidR="008E0E7C" w:rsidRPr="00A015E3" w:rsidRDefault="008E0E7C" w:rsidP="00FC4A17">
            <w:pPr>
              <w:spacing w:after="0" w:line="240" w:lineRule="auto"/>
              <w:jc w:val="center"/>
              <w:rPr>
                <w:rFonts w:ascii="Times New Roman" w:hAnsi="Times New Roman"/>
                <w:color w:val="000000"/>
                <w:sz w:val="20"/>
                <w:szCs w:val="20"/>
                <w:lang w:val="kk-KZ"/>
              </w:rPr>
            </w:pPr>
          </w:p>
        </w:tc>
        <w:tc>
          <w:tcPr>
            <w:tcW w:w="993" w:type="dxa"/>
            <w:vMerge/>
          </w:tcPr>
          <w:p w:rsidR="008E0E7C" w:rsidRPr="00A015E3" w:rsidRDefault="008E0E7C" w:rsidP="00FC4A17">
            <w:pPr>
              <w:spacing w:after="0" w:line="240" w:lineRule="auto"/>
              <w:jc w:val="center"/>
              <w:rPr>
                <w:rFonts w:ascii="Times New Roman" w:hAnsi="Times New Roman"/>
                <w:color w:val="000000"/>
                <w:sz w:val="20"/>
                <w:szCs w:val="20"/>
                <w:lang w:val="kk-KZ"/>
              </w:rPr>
            </w:pPr>
          </w:p>
        </w:tc>
      </w:tr>
    </w:tbl>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B7" w:rsidRDefault="00F61BB7" w:rsidP="00DB5225">
      <w:pPr>
        <w:spacing w:after="0" w:line="240" w:lineRule="auto"/>
      </w:pPr>
      <w:r>
        <w:separator/>
      </w:r>
    </w:p>
  </w:endnote>
  <w:endnote w:type="continuationSeparator" w:id="0">
    <w:p w:rsidR="00F61BB7" w:rsidRDefault="00F61BB7"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B7" w:rsidRDefault="00F61BB7" w:rsidP="00DB5225">
      <w:pPr>
        <w:spacing w:after="0" w:line="240" w:lineRule="auto"/>
      </w:pPr>
      <w:r>
        <w:separator/>
      </w:r>
    </w:p>
  </w:footnote>
  <w:footnote w:type="continuationSeparator" w:id="0">
    <w:p w:rsidR="00F61BB7" w:rsidRDefault="00F61BB7"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7382B"/>
    <w:rsid w:val="005A2501"/>
    <w:rsid w:val="008B510C"/>
    <w:rsid w:val="008E0E7C"/>
    <w:rsid w:val="00B3508D"/>
    <w:rsid w:val="00C014CB"/>
    <w:rsid w:val="00CA6FE4"/>
    <w:rsid w:val="00DB5225"/>
    <w:rsid w:val="00F13FA9"/>
    <w:rsid w:val="00F61BB7"/>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2580</Words>
  <Characters>14711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2018-12-09T05:47:00Z</dcterms:created>
  <dcterms:modified xsi:type="dcterms:W3CDTF">2018-12-09T07:17:00Z</dcterms:modified>
</cp:coreProperties>
</file>