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171064D3" w:rsidR="00E70C21" w:rsidRPr="002F10B2" w:rsidRDefault="00994564" w:rsidP="00994564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Перечень закупаемых МИ</w:t>
      </w:r>
    </w:p>
    <w:p w14:paraId="0A676C43" w14:textId="4BE23A89" w:rsidR="00E70C21" w:rsidRPr="00314FB6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173CFE">
        <w:rPr>
          <w:rFonts w:ascii="Times New Roman" w:hAnsi="Times New Roman"/>
          <w:b/>
          <w:bCs/>
          <w:sz w:val="24"/>
          <w:szCs w:val="24"/>
          <w:lang w:val="kk-KZ"/>
        </w:rPr>
        <w:t>3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60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5"/>
        <w:gridCol w:w="1729"/>
        <w:gridCol w:w="2777"/>
        <w:gridCol w:w="654"/>
        <w:gridCol w:w="483"/>
        <w:gridCol w:w="1134"/>
        <w:gridCol w:w="1275"/>
        <w:gridCol w:w="1343"/>
        <w:gridCol w:w="1614"/>
      </w:tblGrid>
      <w:tr w:rsidR="00994564" w14:paraId="50A35BC3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AB9A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val="kk-KZ" w:eastAsia="en-US"/>
              </w:rPr>
              <w:t>лот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2AD5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8D5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Краткая характеристика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D9D8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Ед.изм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24D6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8C3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3492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Сумма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95D1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Место поставки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1F0F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Срок поставки </w:t>
            </w:r>
          </w:p>
        </w:tc>
      </w:tr>
      <w:tr w:rsidR="00994564" w14:paraId="7B70D4BD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9C7518" w14:textId="4C222E22" w:rsidR="00994564" w:rsidRPr="006F1E4E" w:rsidRDefault="006F1E4E">
            <w:pPr>
              <w:pStyle w:val="a6"/>
              <w:jc w:val="right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244F342" w14:textId="341EC59B" w:rsidR="00994564" w:rsidRPr="00173CFE" w:rsidRDefault="00173CFE">
            <w:pPr>
              <w:pStyle w:val="a6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 xml:space="preserve">Весы детские электронные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6E5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Техническая характеристика</w:t>
            </w:r>
          </w:p>
          <w:p w14:paraId="653E7F9E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Электронные детские весы,   использующиеся также как напольные весы для взвешивания детей. Питание: от батареек, от сети. С поверкой.</w:t>
            </w:r>
          </w:p>
          <w:p w14:paraId="29B2B6FA" w14:textId="459D66B9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1.Наибольший предел взвешивания- </w:t>
            </w:r>
            <w:r w:rsidR="006F1E4E">
              <w:rPr>
                <w:bCs/>
                <w:iCs/>
                <w:sz w:val="20"/>
                <w:szCs w:val="20"/>
                <w:lang w:val="kk-KZ"/>
              </w:rPr>
              <w:t>15</w:t>
            </w:r>
            <w:r w:rsidRPr="00D34000">
              <w:rPr>
                <w:bCs/>
                <w:iCs/>
                <w:sz w:val="20"/>
                <w:szCs w:val="20"/>
              </w:rPr>
              <w:t>кг</w:t>
            </w:r>
          </w:p>
          <w:p w14:paraId="482261D9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2.Дискретность отсчета  - 10г   </w:t>
            </w:r>
          </w:p>
          <w:p w14:paraId="6A10912E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3.Весы должны иметь съемную кювету (отсоединяется нажатием на кнопку)</w:t>
            </w:r>
          </w:p>
          <w:p w14:paraId="189E7944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4.Размеры кюветы: не менее 520*250мм</w:t>
            </w:r>
          </w:p>
          <w:p w14:paraId="129EDA3B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5.Питание: 4 элемента типа „АА„ и адаптер переменного тока</w:t>
            </w:r>
          </w:p>
          <w:p w14:paraId="7326C992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6.Комплект поставки:</w:t>
            </w:r>
          </w:p>
          <w:p w14:paraId="320FD276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весы электронные для новорожденных – 1 шт.</w:t>
            </w:r>
          </w:p>
          <w:p w14:paraId="2409CC6A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батарея типа„АА„  - 4 шт.</w:t>
            </w:r>
          </w:p>
          <w:p w14:paraId="4920701A" w14:textId="77777777" w:rsidR="00994564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адаптер -1 шт.</w:t>
            </w:r>
          </w:p>
          <w:p w14:paraId="72414514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Вместе с оборудованием необходимо предоставить следующую документацию:</w:t>
            </w:r>
          </w:p>
          <w:p w14:paraId="4D041770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1.Регистрационное удостоверение (о регистрации в Республике Казахстан);</w:t>
            </w:r>
          </w:p>
          <w:p w14:paraId="3103F13D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2.Сертификат об утверждении типа средств измерений</w:t>
            </w:r>
          </w:p>
          <w:p w14:paraId="7F4A8AEC" w14:textId="764D31D9" w:rsidR="00D34000" w:rsidRPr="00D34000" w:rsidRDefault="006F1E4E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3</w:t>
            </w:r>
            <w:r w:rsidR="00D34000" w:rsidRPr="00D34000">
              <w:rPr>
                <w:bCs/>
                <w:iCs/>
                <w:sz w:val="20"/>
                <w:szCs w:val="20"/>
              </w:rPr>
              <w:t>.Первичная поверка;</w:t>
            </w:r>
          </w:p>
          <w:p w14:paraId="5446D4CE" w14:textId="0DAC6B7A" w:rsidR="00D34000" w:rsidRPr="00D34000" w:rsidRDefault="006F1E4E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4</w:t>
            </w:r>
            <w:r w:rsidR="00D34000" w:rsidRPr="00D34000">
              <w:rPr>
                <w:bCs/>
                <w:iCs/>
                <w:sz w:val="20"/>
                <w:szCs w:val="20"/>
              </w:rPr>
              <w:t>.Гарантийный талон на 1 год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C5EC43E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val="kk-KZ" w:eastAsia="en-US"/>
              </w:rPr>
              <w:t>шт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9B5D76" w14:textId="630FFBFF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5D30A9" w14:textId="6E6B3BD1" w:rsidR="00994564" w:rsidRPr="00173CFE" w:rsidRDefault="00173CFE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</w:t>
            </w:r>
            <w:r w:rsidR="006F1E4E">
              <w:rPr>
                <w:bCs/>
                <w:iCs/>
                <w:lang w:val="kk-KZ" w:eastAsia="en-US"/>
              </w:rPr>
              <w:t>1</w:t>
            </w:r>
            <w:r>
              <w:rPr>
                <w:bCs/>
                <w:iCs/>
                <w:lang w:val="kk-KZ" w:eastAsia="en-US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0B775" w14:textId="122B27BF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2</w:t>
            </w:r>
            <w:r w:rsidR="006F1E4E">
              <w:rPr>
                <w:bCs/>
                <w:iCs/>
                <w:lang w:val="kk-KZ" w:eastAsia="en-US"/>
              </w:rPr>
              <w:t>30</w:t>
            </w:r>
            <w:r>
              <w:rPr>
                <w:bCs/>
                <w:iCs/>
                <w:lang w:val="kk-KZ" w:eastAsia="en-US"/>
              </w:rPr>
              <w:t>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EB34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12B8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994564" w14:paraId="713E726D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FAF8DE0" w14:textId="690B0CEE" w:rsidR="00994564" w:rsidRPr="006F1E4E" w:rsidRDefault="006F1E4E" w:rsidP="00FA1A75">
            <w:pPr>
              <w:pStyle w:val="a6"/>
              <w:spacing w:before="0" w:beforeAutospacing="0"/>
              <w:jc w:val="right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CE2B90C" w14:textId="7B17B0FF" w:rsidR="00994564" w:rsidRPr="00173CFE" w:rsidRDefault="00173CFE" w:rsidP="00FA1A75">
            <w:pPr>
              <w:pStyle w:val="a6"/>
              <w:spacing w:before="0" w:beforeAutospacing="0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Анализатор для определения</w:t>
            </w:r>
            <w:r w:rsidR="00FA1A75">
              <w:rPr>
                <w:b/>
                <w:iCs/>
                <w:lang w:val="kk-KZ" w:eastAsia="en-US"/>
              </w:rPr>
              <w:t xml:space="preserve"> аммиака в цельной крови </w:t>
            </w:r>
            <w:r w:rsidR="006F1E4E">
              <w:rPr>
                <w:b/>
                <w:iCs/>
                <w:lang w:val="kk-KZ" w:eastAsia="en-US"/>
              </w:rPr>
              <w:t>(</w:t>
            </w:r>
            <w:r w:rsidR="00FA1A75">
              <w:rPr>
                <w:b/>
                <w:iCs/>
                <w:lang w:val="kk-KZ" w:eastAsia="en-US"/>
              </w:rPr>
              <w:t>в комлпекте с принтером</w:t>
            </w:r>
            <w:r w:rsidR="006F1E4E">
              <w:rPr>
                <w:b/>
                <w:iCs/>
                <w:lang w:val="kk-KZ" w:eastAsia="en-US"/>
              </w:rPr>
              <w:t xml:space="preserve">, адаптер питания от сети переменного </w:t>
            </w:r>
            <w:r w:rsidR="006F1E4E">
              <w:rPr>
                <w:b/>
                <w:iCs/>
                <w:lang w:val="kk-KZ" w:eastAsia="en-US"/>
              </w:rPr>
              <w:lastRenderedPageBreak/>
              <w:t xml:space="preserve">тока, </w:t>
            </w:r>
            <w:r w:rsidR="00FA1A75">
              <w:rPr>
                <w:b/>
                <w:iCs/>
                <w:lang w:val="kk-KZ" w:eastAsia="en-US"/>
              </w:rPr>
              <w:t xml:space="preserve"> и с тест полосками -в количестве не менее 50 полосок</w:t>
            </w:r>
            <w:r>
              <w:rPr>
                <w:b/>
                <w:iCs/>
                <w:lang w:val="kk-KZ" w:eastAsia="en-US"/>
              </w:rPr>
              <w:t xml:space="preserve"> </w:t>
            </w:r>
            <w:r w:rsidR="006F1E4E">
              <w:rPr>
                <w:b/>
                <w:iCs/>
                <w:lang w:val="kk-KZ" w:eastAsia="en-US"/>
              </w:rPr>
              <w:t>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4845" w14:textId="77777777" w:rsidR="00FA1A75" w:rsidRPr="00FA1A75" w:rsidRDefault="00994564" w:rsidP="00FA1A75">
            <w:pPr>
              <w:rPr>
                <w:rFonts w:ascii="Times New Roman" w:eastAsia="NSimSun" w:hAnsi="Times New Roman" w:cs="Arial"/>
                <w:b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FA1A75" w:rsidRPr="00FA1A75">
              <w:rPr>
                <w:rFonts w:ascii="Times New Roman" w:eastAsia="NSimSun" w:hAnsi="Times New Roman" w:cs="Arial"/>
                <w:b/>
                <w:color w:val="01011B"/>
                <w:kern w:val="3"/>
                <w:sz w:val="20"/>
                <w:szCs w:val="20"/>
                <w:lang w:eastAsia="zh-CN" w:bidi="hi-IN"/>
              </w:rPr>
              <w:t>Характеристики и описание</w:t>
            </w:r>
          </w:p>
          <w:p w14:paraId="36D34DC0" w14:textId="7F02FB94" w:rsidR="00FA1A75" w:rsidRPr="00FA1A75" w:rsidRDefault="00000000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>
              <w:rPr>
                <w:noProof/>
                <w:sz w:val="20"/>
                <w:szCs w:val="20"/>
              </w:rPr>
              <w:pict w14:anchorId="6F0CBF7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1" o:spid="_x0000_s1026" type="#_x0000_t202" style="position:absolute;margin-left:0;margin-top:0;width:481.9pt;height:1.15pt;z-index:251659264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" filled="f" stroked="f">
                  <v:textbox style="mso-next-textbox:#Врезка1;mso-fit-shape-to-text:t" inset="0,0,0,0">
                    <w:txbxContent>
                      <w:p w14:paraId="6E9AFC65" w14:textId="77777777" w:rsidR="00FA1A75" w:rsidRDefault="00FA1A75" w:rsidP="00FA1A75"/>
                    </w:txbxContent>
                  </v:textbox>
                  <w10:wrap type="square" side="right" anchory="margin"/>
                </v:shape>
              </w:pic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Анализатор для определени аммиака в цельной крови в комплекте с принтером и с тест полосками в количестве не менее -50 полосок. Р</w: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екомендуется для использования реанимационными бригадами скорой помощи, в лечебных учреждениях: в нефрологическом, </w: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lastRenderedPageBreak/>
              <w:t>гепатологическом и токсикологическом отделениях; в отделениях трансплантологии, патологии новорожденных, в инфекционных больницах, в военных госпиталях и МЧС, в медсанчастях нефтегазодобывающих предприятий и других вредных производств</w:t>
            </w:r>
          </w:p>
          <w:p w14:paraId="635AA1CE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26FE3A9F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• Модульная конструкция</w:t>
            </w:r>
          </w:p>
          <w:p w14:paraId="021BB6FD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 xml:space="preserve">Анализатор для определени аммиака в цельной крови должен 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имет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ь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 модульную конструкцию с отдельными компонентами анализатора и принтера</w:t>
            </w:r>
          </w:p>
          <w:p w14:paraId="7C47B77C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для улучшения его мобильности.</w:t>
            </w:r>
          </w:p>
          <w:p w14:paraId="66571D5D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Минимум обслуживания</w:t>
            </w:r>
          </w:p>
          <w:p w14:paraId="370E595E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Единственной необходимой операцией обслуживания является чистка оптического модуля.</w:t>
            </w:r>
          </w:p>
          <w:p w14:paraId="3C874A28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Долговечный источник света</w:t>
            </w:r>
          </w:p>
          <w:p w14:paraId="2D34C6A9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Применение светодиода и короткое время подсветки обеспечивает долговечность источника света.</w:t>
            </w:r>
          </w:p>
          <w:p w14:paraId="5CB60AF9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Температурная компенсация</w:t>
            </w:r>
          </w:p>
          <w:p w14:paraId="4ECFDA88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Автоматическая температурная компенсация с применением встроенного температурного</w:t>
            </w:r>
          </w:p>
          <w:p w14:paraId="16FF78B6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датчика снижает ошибки, возникающие в результате колебаний окружающей температуры.</w:t>
            </w:r>
          </w:p>
          <w:p w14:paraId="61C6A7C5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Электропитание</w:t>
            </w:r>
          </w:p>
          <w:p w14:paraId="1D1F1F9D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Анализатор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должен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 работать как от элементов питания, так и от специального адаптера для</w:t>
            </w:r>
          </w:p>
          <w:p w14:paraId="4E0C84DA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подключения к сети переменного тока.</w:t>
            </w:r>
          </w:p>
          <w:p w14:paraId="51518F96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При эксплуатации анализатора в комбинации с принтером необходимо использовать адаптер</w:t>
            </w:r>
          </w:p>
          <w:p w14:paraId="40FE5904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питания от сети переменного тока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.</w:t>
            </w:r>
          </w:p>
          <w:p w14:paraId="78A9BB07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Память для хранения результатов измерений 50 препаратов.</w:t>
            </w:r>
          </w:p>
          <w:p w14:paraId="2278EDD0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В памяти прибора можно хранить результаты измерений 50 препаратов.</w:t>
            </w:r>
          </w:p>
          <w:p w14:paraId="1447F831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Тип внешнего подключения</w:t>
            </w:r>
          </w:p>
          <w:p w14:paraId="2809290C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Имеется внешнее последовательное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lastRenderedPageBreak/>
              <w:t>соединение (RS-232C).</w:t>
            </w:r>
          </w:p>
          <w:p w14:paraId="0278828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1-1-2 Спецификации</w:t>
            </w:r>
          </w:p>
          <w:p w14:paraId="6433843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■ Общие спецификации</w:t>
            </w:r>
          </w:p>
          <w:p w14:paraId="2763839B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Изделие Прибор для измерения уровня аммиака в крови </w:t>
            </w:r>
          </w:p>
          <w:p w14:paraId="2FBC8B14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Конфигурация Прибор, принадлежности, принтер </w:t>
            </w:r>
          </w:p>
          <w:p w14:paraId="6F3059D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Препарат Цельная кровь</w:t>
            </w:r>
          </w:p>
          <w:p w14:paraId="2CF2F282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Индикаторные полоски</w:t>
            </w:r>
          </w:p>
          <w:p w14:paraId="7F4E2CA1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Комплект для анализа уровня аммиака </w:t>
            </w:r>
          </w:p>
          <w:p w14:paraId="751320A9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Прибор</w:t>
            </w:r>
          </w:p>
          <w:p w14:paraId="79D8DD1D" w14:textId="77777777" w:rsidR="00FA1A75" w:rsidRPr="00FA1A75" w:rsidRDefault="00FA1A75" w:rsidP="00FA1A75">
            <w:pPr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Общая спецификация</w:t>
            </w:r>
          </w:p>
          <w:tbl>
            <w:tblPr>
              <w:tblW w:w="96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1"/>
              <w:gridCol w:w="6627"/>
            </w:tblGrid>
            <w:tr w:rsidR="00FA1A75" w:rsidRPr="00FA1A75" w14:paraId="39AFD285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AD2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Измеряемая величина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98DC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Концентрация аммиака в крови</w:t>
                  </w:r>
                </w:p>
              </w:tc>
            </w:tr>
            <w:tr w:rsidR="00FA1A75" w:rsidRPr="00FA1A75" w14:paraId="65220E20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150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Диапазон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E954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От 10 до 400 N-мкг/дл</w:t>
                  </w:r>
                </w:p>
              </w:tc>
            </w:tr>
            <w:tr w:rsidR="00FA1A75" w:rsidRPr="00FA1A75" w14:paraId="16DC127C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BE1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Принцип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D316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Индикаторная полоска, метод отражения одной длины волны</w:t>
                  </w:r>
                </w:p>
              </w:tc>
            </w:tr>
            <w:tr w:rsidR="00FA1A75" w:rsidRPr="00FA1A75" w14:paraId="47C60BE6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DD40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Длина волны при измерении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ADC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Светодиод с одной длиной волны (635 нм)</w:t>
                  </w:r>
                </w:p>
              </w:tc>
            </w:tr>
            <w:tr w:rsidR="00FA1A75" w:rsidRPr="00FA1A75" w14:paraId="3E09E714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4C5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Способ подачи препарата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CB59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Нанесение с помощью пипетки</w:t>
                  </w:r>
                </w:p>
              </w:tc>
            </w:tr>
            <w:tr w:rsidR="00FA1A75" w:rsidRPr="00FA1A75" w14:paraId="1C4B7190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CAA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Время реакции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4263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Примерно 3 минуты 20 секунд для каждого анализа</w:t>
                  </w:r>
                </w:p>
              </w:tc>
            </w:tr>
            <w:tr w:rsidR="00FA1A75" w:rsidRPr="00FA1A75" w14:paraId="323A12D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069C5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Время разогрева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676D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Максимум 10 секунд</w:t>
                  </w:r>
                </w:p>
              </w:tc>
            </w:tr>
            <w:tr w:rsidR="00FA1A75" w:rsidRPr="00FA1A75" w14:paraId="3223F9E4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26C5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Типы измерений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5CE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Нормальное измерение, непрерывное измерение и проверочное измерение</w:t>
                  </w:r>
                </w:p>
              </w:tc>
            </w:tr>
            <w:tr w:rsidR="00FA1A75" w:rsidRPr="00FA1A75" w14:paraId="363C2F0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67B1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Экран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045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Жидкокристаллический</w:t>
                  </w:r>
                </w:p>
              </w:tc>
            </w:tr>
            <w:tr w:rsidR="00FA1A75" w:rsidRPr="00FA1A75" w14:paraId="02F5238A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27C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Панель оператора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6C5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12-кнопочная панель с цифровыми и функциональными кнопками</w:t>
                  </w:r>
                </w:p>
              </w:tc>
            </w:tr>
            <w:tr w:rsidR="00FA1A75" w:rsidRPr="00FA1A75" w14:paraId="204DB622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11CE2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Емкость памяти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DC2F9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Результаты измерений для 50 препаратов</w:t>
                  </w:r>
                </w:p>
              </w:tc>
            </w:tr>
            <w:tr w:rsidR="00FA1A75" w:rsidRPr="00FA1A75" w14:paraId="1094DF58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F131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Температурная компенсация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C786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Автоматическая компенсация с использованием встроенного температурного датчика</w:t>
                  </w:r>
                </w:p>
              </w:tc>
            </w:tr>
            <w:tr w:rsidR="00FA1A75" w:rsidRPr="00FA1A75" w14:paraId="224C9179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8DC1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C6F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10 до 35°C, относительная влажность: от 25 до 85%</w:t>
                  </w:r>
                </w:p>
              </w:tc>
            </w:tr>
            <w:tr w:rsidR="00FA1A75" w:rsidRPr="00FA1A75" w14:paraId="6870F387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8FD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Среда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C36D9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10 до 35°C, относительная влажность: от 25 до 85%</w:t>
                  </w:r>
                </w:p>
              </w:tc>
            </w:tr>
            <w:tr w:rsidR="00FA1A75" w:rsidRPr="00FA1A75" w14:paraId="652E5238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73E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хранения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754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1 до 30°C, относительная влажность: от 20 до 80% (без конденсации)</w:t>
                  </w:r>
                </w:p>
              </w:tc>
            </w:tr>
            <w:tr w:rsidR="00FA1A75" w:rsidRPr="00FA1A75" w14:paraId="599FE233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5281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транспортировки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04DA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-10 до 60°C, относительная влажность: от 20 до 80% (без конденсации)</w:t>
                  </w:r>
                </w:p>
              </w:tc>
            </w:tr>
            <w:tr w:rsidR="00FA1A75" w:rsidRPr="00FA1A75" w14:paraId="433ACC8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92F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4292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Не менее </w:t>
                  </w: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124 (Ш) x 85 (Г) x 38 (В) мм</w:t>
                  </w:r>
                </w:p>
              </w:tc>
            </w:tr>
            <w:tr w:rsidR="00FA1A75" w:rsidRPr="00FA1A75" w14:paraId="76F2B30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16D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709E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Около 150 г </w:t>
                  </w:r>
                </w:p>
              </w:tc>
            </w:tr>
            <w:tr w:rsidR="00FA1A75" w:rsidRPr="00FA1A75" w14:paraId="113E8C62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C3AB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63AE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Два элемента питания AA или адаптер на 7,5 В постоянного тока, 3А.</w:t>
                  </w:r>
                </w:p>
              </w:tc>
            </w:tr>
            <w:tr w:rsidR="00FA1A75" w:rsidRPr="00FA1A75" w14:paraId="1E5A737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C44A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16A5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От батарей: 0,15 Вт (от сети: 4 Вт)</w:t>
                  </w:r>
                </w:p>
              </w:tc>
            </w:tr>
            <w:tr w:rsidR="00FA1A75" w:rsidRPr="00FA1A75" w14:paraId="287C6199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D460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Уровень шума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31B5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Менее 85 дБ</w:t>
                  </w:r>
                </w:p>
              </w:tc>
            </w:tr>
            <w:tr w:rsidR="00FA1A75" w:rsidRPr="00FA1A75" w14:paraId="1155BD0B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8FCA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Место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0825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Только в помещении</w:t>
                  </w:r>
                </w:p>
              </w:tc>
            </w:tr>
            <w:tr w:rsidR="00FA1A75" w:rsidRPr="00FA1A75" w14:paraId="39C12EB8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1CA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0E08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A1A75" w:rsidRPr="00FA1A75" w14:paraId="3E18388B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A26B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Уровень загрязнения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ACA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FA1A75" w:rsidRPr="00FA1A75" w14:paraId="3CFC38D0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DF6F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Категория перенапряжения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9D6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II</w:t>
                  </w:r>
                </w:p>
              </w:tc>
            </w:tr>
            <w:tr w:rsidR="00FA1A75" w:rsidRPr="00FA1A75" w14:paraId="67FF66C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C51B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79E4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  <w:tr w:rsidR="00FA1A75" w:rsidRPr="00FA1A75" w14:paraId="426DC339" w14:textId="77777777" w:rsidTr="009D1980">
              <w:tc>
                <w:tcPr>
                  <w:tcW w:w="9638" w:type="dxa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A6F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Принтер </w:t>
                  </w:r>
                </w:p>
              </w:tc>
            </w:tr>
            <w:tr w:rsidR="00FA1A75" w:rsidRPr="00FA1A75" w14:paraId="41093FDA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74BF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Принтер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BF35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Термальный принтер с построчной печатью</w:t>
                  </w:r>
                </w:p>
              </w:tc>
            </w:tr>
            <w:tr w:rsidR="00FA1A75" w:rsidRPr="00FA1A75" w14:paraId="72CC221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361B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Бумага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7DC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Полноцветная термографическая бумага (Ш58 мм, диаметр рулона 26 мм)</w:t>
                  </w:r>
                </w:p>
              </w:tc>
            </w:tr>
            <w:tr w:rsidR="00FA1A75" w:rsidRPr="00FA1A75" w14:paraId="7FD9ED31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5FAB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1320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 Не менее </w:t>
                  </w: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125 (Ш) x 133 (Г) x 36 (В) мм</w:t>
                  </w:r>
                </w:p>
              </w:tc>
            </w:tr>
            <w:tr w:rsidR="00FA1A75" w:rsidRPr="00FA1A75" w14:paraId="7A7F42E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D742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DBFA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180 г (без бумаги)</w:t>
                  </w:r>
                </w:p>
              </w:tc>
            </w:tr>
            <w:tr w:rsidR="00FA1A75" w:rsidRPr="00FA1A75" w14:paraId="06C30052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CB0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49D4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Адаптер переменного тока с выходом на 7,5 В постоянного тока, 3А.</w:t>
                  </w:r>
                </w:p>
              </w:tc>
            </w:tr>
            <w:tr w:rsidR="00FA1A75" w:rsidRPr="00FA1A75" w14:paraId="6CCB360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F48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9A8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20 Вт</w:t>
                  </w:r>
                </w:p>
              </w:tc>
            </w:tr>
            <w:tr w:rsidR="00FA1A75" w:rsidRPr="00FA1A75" w14:paraId="64BD0F19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5BD4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B594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 одним касанием</w:t>
                  </w:r>
                </w:p>
              </w:tc>
            </w:tr>
            <w:tr w:rsidR="00FA1A75" w:rsidRPr="00FA1A75" w14:paraId="6B82BC65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1A2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D55D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Контакт</w:t>
                  </w:r>
                </w:p>
              </w:tc>
            </w:tr>
            <w:tr w:rsidR="00FA1A75" w:rsidRPr="00FA1A75" w14:paraId="7200B674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25DB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2D6A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</w:tbl>
          <w:p w14:paraId="2064636C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</w:p>
          <w:p w14:paraId="4646F3A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Liberation Serif" w:eastAsia="NSimSun" w:hAnsi="Liberation Serif" w:cs="Arial"/>
                <w:b/>
                <w:bCs/>
                <w:kern w:val="3"/>
                <w:sz w:val="20"/>
                <w:szCs w:val="20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2AFD800B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5A25F8F1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реестр ГСИ Республики Казахстан).</w:t>
            </w:r>
          </w:p>
          <w:p w14:paraId="7DCC124F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3.Сертификат происхождения;</w:t>
            </w:r>
          </w:p>
          <w:p w14:paraId="18E75BF5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4.Акт приема-передачи;</w:t>
            </w:r>
          </w:p>
          <w:p w14:paraId="7EBF9832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5.Первичная поверка ( если данное оборудование является средством измерения);</w:t>
            </w:r>
          </w:p>
          <w:p w14:paraId="173EC056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  <w:t>6.Гарантийный талон</w:t>
            </w:r>
          </w:p>
          <w:p w14:paraId="1236E785" w14:textId="439E507E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  <w:t>7.Паспорт на казахском и русском языках.</w:t>
            </w:r>
            <w:r w:rsidRPr="00FA1A75">
              <w:rPr>
                <w:rFonts w:ascii="Liberation Serif" w:eastAsia="NSimSun" w:hAnsi="Liberation Serif" w:cs="Arial"/>
                <w:kern w:val="3"/>
                <w:sz w:val="20"/>
                <w:szCs w:val="20"/>
                <w:lang w:val="kk-KZ" w:eastAsia="zh-CN" w:bidi="hi-IN"/>
              </w:rPr>
              <w:t xml:space="preserve">                                                                        </w:t>
            </w:r>
          </w:p>
          <w:p w14:paraId="0B6F4F17" w14:textId="5F5C9495" w:rsidR="00994564" w:rsidRPr="00FA1A75" w:rsidRDefault="00994564" w:rsidP="00FA1A75">
            <w:pPr>
              <w:pStyle w:val="Standard"/>
              <w:rPr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39EEEF" w14:textId="77777777" w:rsidR="00994564" w:rsidRDefault="00994564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eastAsia="en-US"/>
              </w:rPr>
              <w:lastRenderedPageBreak/>
              <w:t>шт.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902EE6" w14:textId="2FADA93F" w:rsidR="00994564" w:rsidRPr="00FA1A75" w:rsidRDefault="00FA1A75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6412DC" w14:textId="405F8B5F" w:rsidR="00994564" w:rsidRPr="00FA1A75" w:rsidRDefault="00FA1A75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1318000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44B93" w14:textId="44723339" w:rsidR="00994564" w:rsidRPr="00FA1A75" w:rsidRDefault="00FA1A75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1318000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571" w14:textId="77777777" w:rsidR="00994564" w:rsidRDefault="00994564" w:rsidP="00FA1A75">
            <w:pPr>
              <w:pStyle w:val="a6"/>
              <w:spacing w:before="0" w:beforeAutospacing="0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7C0" w14:textId="0AA248DB" w:rsidR="00994564" w:rsidRDefault="00F602F6" w:rsidP="00FA1A75">
            <w:pPr>
              <w:pStyle w:val="a6"/>
              <w:spacing w:before="0" w:before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 w:rsidRPr="00F602F6"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Срок поставки должен быть не более </w:t>
            </w:r>
            <w:r w:rsidR="006F1E4E"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6</w:t>
            </w:r>
            <w:r w:rsidRPr="00F602F6"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0 календарных дней с момента подписания Договора о закупе</w:t>
            </w:r>
          </w:p>
        </w:tc>
      </w:tr>
      <w:tr w:rsidR="00994564" w14:paraId="672C68A1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F30C" w14:textId="1B3BB737" w:rsidR="00994564" w:rsidRDefault="006F1E4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lastRenderedPageBreak/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B2FAFD" w14:textId="1C4A6F31" w:rsidR="00994564" w:rsidRPr="001C2C9D" w:rsidRDefault="001C2C9D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 xml:space="preserve">Рулетка для измерения длины окружности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0E3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Характеристики и описание</w:t>
            </w:r>
          </w:p>
          <w:p w14:paraId="66C3D2A6" w14:textId="749F7E61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Высококачественная , долговечная и удобная для использования в педиатрии, ортопедии. Рулетка сворачивается автоматически.</w:t>
            </w:r>
          </w:p>
          <w:p w14:paraId="01751083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Технические характеристики:</w:t>
            </w:r>
          </w:p>
          <w:p w14:paraId="03071BC7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Диапазон измерения (ростомера): 0 – 205 см</w:t>
            </w:r>
          </w:p>
          <w:p w14:paraId="42C15EE3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Дискретность (ростомера): 1 мм</w:t>
            </w:r>
          </w:p>
          <w:p w14:paraId="0F61F548" w14:textId="73FFB7FD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Размеры: не менее/ не более  70 х 22 х 65 мм</w:t>
            </w:r>
          </w:p>
          <w:p w14:paraId="6E202A0A" w14:textId="77777777" w:rsidR="00994564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Функции: Измерение в лежачем положении</w:t>
            </w:r>
          </w:p>
          <w:p w14:paraId="4D2BEB11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28E5D0EE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138D0791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2.Сертификат об утверждении типа средств измерений</w:t>
            </w:r>
          </w:p>
          <w:p w14:paraId="2467F5A2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3</w:t>
            </w: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.Акт приема-передачи;</w:t>
            </w:r>
          </w:p>
          <w:p w14:paraId="434704EB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4</w:t>
            </w: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.Первичная поверка;</w:t>
            </w:r>
          </w:p>
          <w:p w14:paraId="169486A3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5.Гарантийный талон на 1год</w:t>
            </w:r>
          </w:p>
          <w:p w14:paraId="263580D0" w14:textId="34424A10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B6734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val="kk-KZ" w:eastAsia="en-US"/>
              </w:rPr>
              <w:t>шт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D32634" w14:textId="2AC63728" w:rsidR="00994564" w:rsidRPr="001C2C9D" w:rsidRDefault="001C2C9D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6DA3E2" w14:textId="6CE90650" w:rsidR="00994564" w:rsidRPr="001C2C9D" w:rsidRDefault="001C2C9D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134ECD9" w14:textId="0E970039" w:rsidR="00994564" w:rsidRPr="00931DEC" w:rsidRDefault="001C2C9D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kk-KZ" w:eastAsia="en-US"/>
              </w:rPr>
              <w:t>183000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8D8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028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3B17C0" w14:paraId="0BDD4A20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37F" w14:textId="77777777" w:rsid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5F41D2" w14:textId="77777777" w:rsidR="003B17C0" w:rsidRDefault="003B17C0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873" w14:textId="77777777" w:rsidR="003B17C0" w:rsidRPr="001C2C9D" w:rsidRDefault="003B17C0" w:rsidP="001C2C9D">
            <w:pPr>
              <w:pStyle w:val="Standard"/>
              <w:rPr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EA2AF3" w14:textId="77777777" w:rsidR="003B17C0" w:rsidRDefault="003B17C0">
            <w:pPr>
              <w:pStyle w:val="a6"/>
              <w:jc w:val="right"/>
              <w:textAlignment w:val="baseline"/>
              <w:rPr>
                <w:lang w:val="kk-KZ"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7E79D4" w14:textId="77777777" w:rsid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1493C7" w14:textId="77777777" w:rsid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2A5D" w14:textId="4172273C" w:rsidR="003B17C0" w:rsidRPr="006F1E4E" w:rsidRDefault="006F1E4E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kk-KZ" w:eastAsia="en-US"/>
              </w:rPr>
              <w:t>1731000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8EF" w14:textId="77777777" w:rsidR="003B17C0" w:rsidRDefault="003B17C0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AD" w14:textId="77777777" w:rsidR="003B17C0" w:rsidRDefault="003B17C0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</w:p>
        </w:tc>
      </w:tr>
    </w:tbl>
    <w:p w14:paraId="16E19188" w14:textId="77777777" w:rsidR="00994564" w:rsidRDefault="00994564" w:rsidP="00994564">
      <w:pPr>
        <w:rPr>
          <w:rFonts w:eastAsia="Times New Roman"/>
          <w:sz w:val="24"/>
          <w:szCs w:val="24"/>
        </w:rPr>
      </w:pPr>
    </w:p>
    <w:p w14:paraId="3FA15CA7" w14:textId="77777777" w:rsidR="00E70C21" w:rsidRPr="0059483E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70C21" w:rsidRPr="0059483E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6391" w14:textId="77777777" w:rsidR="00574DDE" w:rsidRDefault="00574DDE" w:rsidP="00C34EE5">
      <w:pPr>
        <w:spacing w:after="0" w:line="240" w:lineRule="auto"/>
      </w:pPr>
      <w:r>
        <w:separator/>
      </w:r>
    </w:p>
  </w:endnote>
  <w:endnote w:type="continuationSeparator" w:id="0">
    <w:p w14:paraId="2543C9B7" w14:textId="77777777" w:rsidR="00574DDE" w:rsidRDefault="00574DDE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6E77" w14:textId="77777777" w:rsidR="00574DDE" w:rsidRDefault="00574DDE" w:rsidP="00C34EE5">
      <w:pPr>
        <w:spacing w:after="0" w:line="240" w:lineRule="auto"/>
      </w:pPr>
      <w:r>
        <w:separator/>
      </w:r>
    </w:p>
  </w:footnote>
  <w:footnote w:type="continuationSeparator" w:id="0">
    <w:p w14:paraId="4081D3A9" w14:textId="77777777" w:rsidR="00574DDE" w:rsidRDefault="00574DDE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469979745">
    <w:abstractNumId w:val="0"/>
  </w:num>
  <w:num w:numId="2" w16cid:durableId="843977338">
    <w:abstractNumId w:val="1"/>
  </w:num>
  <w:num w:numId="3" w16cid:durableId="272942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15ED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3CFE"/>
    <w:rsid w:val="00175812"/>
    <w:rsid w:val="00190631"/>
    <w:rsid w:val="0019173D"/>
    <w:rsid w:val="001B79C3"/>
    <w:rsid w:val="001C2C9D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74099"/>
    <w:rsid w:val="00381E89"/>
    <w:rsid w:val="00387B78"/>
    <w:rsid w:val="003A7852"/>
    <w:rsid w:val="003B17C0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5534C"/>
    <w:rsid w:val="00561B8F"/>
    <w:rsid w:val="00574DDE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4A5"/>
    <w:rsid w:val="005F0E00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1B1E"/>
    <w:rsid w:val="006F1E4E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33399"/>
    <w:rsid w:val="0086507B"/>
    <w:rsid w:val="00870A32"/>
    <w:rsid w:val="008D132F"/>
    <w:rsid w:val="00931DEC"/>
    <w:rsid w:val="00937FD0"/>
    <w:rsid w:val="009410E6"/>
    <w:rsid w:val="009535CC"/>
    <w:rsid w:val="0095400A"/>
    <w:rsid w:val="009620D5"/>
    <w:rsid w:val="00994564"/>
    <w:rsid w:val="009B7E65"/>
    <w:rsid w:val="009D6968"/>
    <w:rsid w:val="009F1BB7"/>
    <w:rsid w:val="009F5D54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C2469D"/>
    <w:rsid w:val="00C34EE5"/>
    <w:rsid w:val="00C376A7"/>
    <w:rsid w:val="00C54353"/>
    <w:rsid w:val="00C62306"/>
    <w:rsid w:val="00C70C52"/>
    <w:rsid w:val="00CB7527"/>
    <w:rsid w:val="00CF1784"/>
    <w:rsid w:val="00CF4FE0"/>
    <w:rsid w:val="00D17C9B"/>
    <w:rsid w:val="00D34000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23B0E"/>
    <w:rsid w:val="00F401C2"/>
    <w:rsid w:val="00F50E74"/>
    <w:rsid w:val="00F602F6"/>
    <w:rsid w:val="00F75462"/>
    <w:rsid w:val="00F77D5F"/>
    <w:rsid w:val="00F877D9"/>
    <w:rsid w:val="00FA1A7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  <w:style w:type="paragraph" w:customStyle="1" w:styleId="Textbody">
    <w:name w:val="Text body"/>
    <w:basedOn w:val="Standard"/>
    <w:rsid w:val="00833399"/>
    <w:pPr>
      <w:spacing w:after="140" w:line="276" w:lineRule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129</cp:revision>
  <cp:lastPrinted>2020-03-10T05:20:00Z</cp:lastPrinted>
  <dcterms:created xsi:type="dcterms:W3CDTF">2019-02-19T03:30:00Z</dcterms:created>
  <dcterms:modified xsi:type="dcterms:W3CDTF">2023-03-16T05:17:00Z</dcterms:modified>
</cp:coreProperties>
</file>