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1D8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Бір көзден алу тәсілімен мемлекеттік сатып алу қорытындылары туралы хаттама №2655420-ИОИ1</w:t>
      </w:r>
    </w:p>
    <w:p w:rsidR="00000000" w:rsidRDefault="00261D82">
      <w:pPr>
        <w:pStyle w:val="a3"/>
      </w:pPr>
      <w:r>
        <w:t xml:space="preserve">Шақыру № </w:t>
      </w:r>
      <w:r>
        <w:rPr>
          <w:b/>
          <w:bCs/>
        </w:rPr>
        <w:t>2655420-ИОИ1</w:t>
      </w:r>
      <w:r>
        <w:br/>
        <w:t xml:space="preserve">Шақыру атауы </w:t>
      </w:r>
      <w:r>
        <w:rPr>
          <w:b/>
          <w:bCs/>
        </w:rPr>
        <w:t>Компьютер жиынтығымен (сертификат соответствие и гарантийный талон на 1 год)</w:t>
      </w:r>
      <w:r>
        <w:t xml:space="preserve"> </w:t>
      </w:r>
    </w:p>
    <w:p w:rsidR="00000000" w:rsidRDefault="00261D82">
      <w:pPr>
        <w:pStyle w:val="a3"/>
      </w:pPr>
      <w:r>
        <w:t xml:space="preserve">Лот №: </w:t>
      </w:r>
      <w:r>
        <w:rPr>
          <w:b/>
          <w:bCs/>
        </w:rPr>
        <w:t>19294474-ОИ2</w:t>
      </w:r>
      <w:r>
        <w:br/>
        <w:t xml:space="preserve">Лот атауы: </w:t>
      </w:r>
      <w:r>
        <w:rPr>
          <w:b/>
          <w:bCs/>
        </w:rPr>
        <w:t>Компьютер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3"/>
        <w:gridCol w:w="5043"/>
        <w:gridCol w:w="1544"/>
        <w:gridCol w:w="2505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61D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261D8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2"/>
        <w:gridCol w:w="1254"/>
        <w:gridCol w:w="4690"/>
        <w:gridCol w:w="1432"/>
        <w:gridCol w:w="107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61D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19294474-ОИ2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Компьютер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1) тармақша осы Заңда көзделген жағдайларда конкурс тәсілімен мемлекеттік сатып алу өткізілмеді деп танылған жағдайда жүзеге асырылады. Осы ереже конкурс тәсілімен мемлекеттік сатып алу Қазақстан Республикасының заңдарына сәйкес жарамсыз деп тан</w:t>
            </w:r>
            <w:r>
              <w:rPr>
                <w:rFonts w:eastAsia="Times New Roman"/>
              </w:rPr>
              <w:t>ылған жағдайларға қолданылмайды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3 348 214.25</w:t>
            </w:r>
          </w:p>
        </w:tc>
      </w:tr>
    </w:tbl>
    <w:p w:rsidR="00000000" w:rsidRDefault="00261D8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88"/>
        <w:gridCol w:w="1560"/>
        <w:gridCol w:w="559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61D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"Mega electronics Co"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170940032261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511010000, 160000, Южно-Казахстанская область, Шымкент Г.А., г.Шымкент, Микрорайон 4, 89А, 8</w:t>
            </w:r>
            <w:r>
              <w:rPr>
                <w:rFonts w:eastAsia="Times New Roman"/>
              </w:rPr>
              <w:br/>
              <w:t>КБе: 17 БСК: KSNVKZKA ЖСК:KZ27551A127002296KZT</w:t>
            </w:r>
            <w:r>
              <w:rPr>
                <w:rFonts w:eastAsia="Times New Roman"/>
              </w:rPr>
              <w:br/>
              <w:t>Банк атауы: АО "Банк Kassa Nova"</w:t>
            </w:r>
          </w:p>
        </w:tc>
      </w:tr>
    </w:tbl>
    <w:p w:rsidR="00000000" w:rsidRDefault="00261D8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61D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3175000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12.06.2018 10:28:49.369</w:t>
            </w:r>
          </w:p>
        </w:tc>
      </w:tr>
    </w:tbl>
    <w:p w:rsidR="00000000" w:rsidRDefault="00261D8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16"/>
        <w:gridCol w:w="2068"/>
        <w:gridCol w:w="1630"/>
        <w:gridCol w:w="1369"/>
        <w:gridCol w:w="206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61D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"Mega electronics Co"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61D82">
      <w:pPr>
        <w:pStyle w:val="a3"/>
      </w:pPr>
      <w:r>
        <w:t xml:space="preserve">№ </w:t>
      </w:r>
      <w:r>
        <w:rPr>
          <w:b/>
          <w:bCs/>
        </w:rPr>
        <w:t>19294474-ОИ2</w:t>
      </w:r>
      <w:r>
        <w:t xml:space="preserve"> </w:t>
      </w:r>
      <w:r>
        <w:t xml:space="preserve">лот бойынша шақырылған әлеуетті өнім берушімен </w:t>
      </w:r>
      <w:r>
        <w:rPr>
          <w:b/>
          <w:bCs/>
        </w:rPr>
        <w:t>"Mega electronics Co" жауапкершілігі шектеулі серіктестігі</w:t>
      </w:r>
      <w:r>
        <w:t xml:space="preserve"> «Бір көзден электронды сатып алу» тәсілімен мемлекеттік сатып алу туралы шарт жасалады деп шешілді.</w:t>
      </w:r>
    </w:p>
    <w:p w:rsidR="00000000" w:rsidRDefault="00261D82">
      <w:pPr>
        <w:pStyle w:val="a3"/>
      </w:pPr>
      <w:r>
        <w:t>Аббревиатураларды таратып жазу:</w:t>
      </w:r>
      <w:r>
        <w:br/>
        <w:t>БСН – бизнес-сәйке</w:t>
      </w:r>
      <w:r>
        <w:t>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 есепке алу нөмірі;</w:t>
      </w:r>
      <w:r>
        <w:br/>
        <w:t>Т.А.Ә. – тегі аты әкесінің аты;</w:t>
      </w:r>
      <w:r>
        <w:br/>
        <w:t xml:space="preserve">кк.аа.жжжж. – күн, ай, жыл. </w:t>
      </w:r>
    </w:p>
    <w:p w:rsidR="00000000" w:rsidRDefault="00261D8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Протокол об итогах государственных закупок способом из одного ист</w:t>
      </w:r>
      <w:r>
        <w:rPr>
          <w:rFonts w:eastAsia="Times New Roman"/>
        </w:rPr>
        <w:t>очника №2655420-ИОИ1</w:t>
      </w:r>
    </w:p>
    <w:p w:rsidR="00000000" w:rsidRDefault="00261D82">
      <w:pPr>
        <w:pStyle w:val="a3"/>
      </w:pPr>
      <w:r>
        <w:t xml:space="preserve">№ приглашения </w:t>
      </w:r>
      <w:r>
        <w:rPr>
          <w:b/>
          <w:bCs/>
        </w:rPr>
        <w:t>2655420-ИОИ1</w:t>
      </w:r>
      <w:r>
        <w:br/>
        <w:t xml:space="preserve">Наименование приглашения </w:t>
      </w:r>
      <w:r>
        <w:rPr>
          <w:b/>
          <w:bCs/>
        </w:rPr>
        <w:t xml:space="preserve">Компьютер в комплекте </w:t>
      </w:r>
    </w:p>
    <w:p w:rsidR="00000000" w:rsidRDefault="00261D82">
      <w:pPr>
        <w:pStyle w:val="a3"/>
      </w:pPr>
      <w:r>
        <w:t xml:space="preserve">№ лота: </w:t>
      </w:r>
      <w:r>
        <w:rPr>
          <w:b/>
          <w:bCs/>
        </w:rPr>
        <w:t>19294474-ОИ2</w:t>
      </w:r>
      <w:r>
        <w:br/>
        <w:t xml:space="preserve">Наименование лота: </w:t>
      </w:r>
      <w:r>
        <w:rPr>
          <w:b/>
          <w:bCs/>
        </w:rPr>
        <w:t>Компьютер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3"/>
        <w:gridCol w:w="4752"/>
        <w:gridCol w:w="1455"/>
        <w:gridCol w:w="2905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61D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61D8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6"/>
        <w:gridCol w:w="1587"/>
        <w:gridCol w:w="4332"/>
        <w:gridCol w:w="1174"/>
        <w:gridCol w:w="1366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61D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19294474-ОИ2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Компьютер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1) п. 2 ст. 39 государственные закупки способом конкурса признаны несостоявшимися в случаях, предусмотренных настоящим Законом. Настоящее положение не распространяется на случаи, когда государственные закупки способом конкурса были признаны недействит</w:t>
            </w:r>
            <w:r>
              <w:rPr>
                <w:rFonts w:eastAsia="Times New Roman"/>
              </w:rPr>
              <w:t>ельными в соответствии с законами Республики Казахстан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3 348 214.25</w:t>
            </w:r>
          </w:p>
        </w:tc>
      </w:tr>
    </w:tbl>
    <w:p w:rsidR="00000000" w:rsidRDefault="00261D8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25"/>
        <w:gridCol w:w="1536"/>
        <w:gridCol w:w="5284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61D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"Mega electronics Co"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170940032261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511010000, 160000, Южно-Казахстанская область, Шымкент Г.А., г.Шымкент, Микрорайон 4, 89А, 8</w:t>
            </w:r>
            <w:r>
              <w:rPr>
                <w:rFonts w:eastAsia="Times New Roman"/>
              </w:rPr>
              <w:br/>
              <w:t>КБе: 17 БИК: KSNVKZKA ИИК:KZ27551A127002296KZT</w:t>
            </w:r>
            <w:r>
              <w:rPr>
                <w:rFonts w:eastAsia="Times New Roman"/>
              </w:rPr>
              <w:br/>
              <w:t xml:space="preserve">Название банка: </w:t>
            </w:r>
            <w:r>
              <w:rPr>
                <w:rFonts w:eastAsia="Times New Roman"/>
              </w:rPr>
              <w:t>АО "Банк Kassa Nova"</w:t>
            </w:r>
          </w:p>
        </w:tc>
      </w:tr>
    </w:tbl>
    <w:p w:rsidR="00000000" w:rsidRDefault="00261D8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61D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3175000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12.06.2018 10:28:49.369</w:t>
            </w:r>
          </w:p>
        </w:tc>
      </w:tr>
    </w:tbl>
    <w:p w:rsidR="00000000" w:rsidRDefault="00261D8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00"/>
        <w:gridCol w:w="1779"/>
        <w:gridCol w:w="1780"/>
        <w:gridCol w:w="1642"/>
        <w:gridCol w:w="184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61D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61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"Mega electronics Co"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61D8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61D82">
      <w:pPr>
        <w:pStyle w:val="a3"/>
      </w:pPr>
      <w:r>
        <w:t xml:space="preserve">Решено по лоту № </w:t>
      </w:r>
      <w:r>
        <w:rPr>
          <w:b/>
          <w:bCs/>
        </w:rPr>
        <w:t>19294474-ОИ2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Товарищество с ограниченной ответственностью "Mega electronics Co"</w:t>
      </w:r>
      <w:r>
        <w:t>.</w:t>
      </w:r>
    </w:p>
    <w:p w:rsidR="00261D82" w:rsidRDefault="00261D82">
      <w:pPr>
        <w:pStyle w:val="a3"/>
      </w:pPr>
      <w:r>
        <w:t>Расшифровка аббревиатур:</w:t>
      </w:r>
      <w:r>
        <w:br/>
        <w:t>БИН – бизнес-и</w:t>
      </w:r>
      <w:r>
        <w:t>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отчество;</w:t>
      </w:r>
      <w:r>
        <w:br/>
        <w:t xml:space="preserve">дд.мм.гггг. – день, месяц, год. </w:t>
      </w:r>
    </w:p>
    <w:sectPr w:rsidR="0026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897B57"/>
    <w:rsid w:val="00261D82"/>
    <w:rsid w:val="0089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2019-08-18T08:57:00Z</dcterms:created>
  <dcterms:modified xsi:type="dcterms:W3CDTF">2019-08-18T08:57:00Z</dcterms:modified>
</cp:coreProperties>
</file>